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AE77C">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2ECCC621">
      <w:pPr>
        <w:spacing w:before="120" w:after="120" w:line="240" w:lineRule="auto"/>
        <w:rPr>
          <w:rFonts w:cstheme="minorHAnsi"/>
          <w:bCs/>
        </w:rPr>
      </w:pPr>
      <w:r>
        <w:rPr>
          <w:rFonts w:cstheme="minorHAnsi"/>
          <w:bCs/>
        </w:rPr>
        <w:t>90037/2026</w:t>
      </w:r>
    </w:p>
    <w:p w14:paraId="728858D4">
      <w:pPr>
        <w:spacing w:before="120" w:after="120" w:line="240" w:lineRule="auto"/>
        <w:rPr>
          <w:rFonts w:cstheme="minorHAnsi"/>
          <w:b/>
          <w:bCs/>
          <w:color w:val="405CA1"/>
        </w:rPr>
      </w:pPr>
    </w:p>
    <w:p w14:paraId="7FFDDD84">
      <w:pPr>
        <w:spacing w:before="120" w:after="120" w:line="240" w:lineRule="auto"/>
        <w:rPr>
          <w:rFonts w:cstheme="minorHAnsi"/>
          <w:b/>
          <w:bCs/>
          <w:color w:val="405CA1"/>
        </w:rPr>
      </w:pPr>
      <w:r>
        <w:rPr>
          <w:rFonts w:cstheme="minorHAnsi"/>
          <w:b/>
          <w:bCs/>
          <w:color w:val="405CA1"/>
        </w:rPr>
        <w:t>CONTRATANTE (UASG)</w:t>
      </w:r>
    </w:p>
    <w:p w14:paraId="69A9E18F">
      <w:pPr>
        <w:spacing w:before="120" w:after="120" w:line="240" w:lineRule="auto"/>
        <w:rPr>
          <w:rFonts w:cstheme="minorHAnsi"/>
        </w:rPr>
      </w:pPr>
      <w:r>
        <w:rPr>
          <w:rFonts w:cstheme="minorHAnsi"/>
        </w:rPr>
        <w:t>150247</w:t>
      </w:r>
    </w:p>
    <w:p w14:paraId="2DCCEFFF">
      <w:pPr>
        <w:spacing w:before="120" w:after="120" w:line="240" w:lineRule="auto"/>
        <w:rPr>
          <w:rFonts w:cstheme="minorHAnsi"/>
          <w:b/>
          <w:bCs/>
          <w:color w:val="405CA1"/>
        </w:rPr>
      </w:pPr>
    </w:p>
    <w:p w14:paraId="19E344E1">
      <w:pPr>
        <w:spacing w:before="120" w:after="120" w:line="240" w:lineRule="auto"/>
        <w:rPr>
          <w:rFonts w:cstheme="minorHAnsi"/>
          <w:b/>
          <w:bCs/>
          <w:color w:val="5B5B5F"/>
        </w:rPr>
      </w:pPr>
      <w:r>
        <w:rPr>
          <w:rFonts w:cstheme="minorHAnsi"/>
          <w:b/>
          <w:bCs/>
          <w:color w:val="405CA1"/>
        </w:rPr>
        <w:t>OBJETO</w:t>
      </w:r>
    </w:p>
    <w:p w14:paraId="73086D02">
      <w:pPr>
        <w:spacing w:before="120" w:after="120" w:line="240" w:lineRule="auto"/>
        <w:rPr>
          <w:rFonts w:cstheme="minorHAnsi"/>
        </w:rPr>
      </w:pPr>
      <w:r>
        <w:rPr>
          <w:rFonts w:cstheme="minorHAnsi"/>
        </w:rPr>
        <w:t>MATERIAL MÉDICO HOSPITALAR</w:t>
      </w:r>
    </w:p>
    <w:p w14:paraId="04F9CEAD">
      <w:pPr>
        <w:spacing w:before="120" w:after="120" w:line="240" w:lineRule="auto"/>
        <w:rPr>
          <w:rFonts w:cstheme="minorHAnsi"/>
        </w:rPr>
      </w:pPr>
    </w:p>
    <w:p w14:paraId="73F52611">
      <w:pPr>
        <w:spacing w:before="120" w:after="120" w:line="240" w:lineRule="auto"/>
        <w:rPr>
          <w:rFonts w:cstheme="minorHAnsi"/>
          <w:b/>
          <w:bCs/>
          <w:color w:val="405CA1"/>
        </w:rPr>
      </w:pPr>
      <w:r>
        <w:rPr>
          <w:rFonts w:cstheme="minorHAnsi"/>
          <w:b/>
          <w:bCs/>
          <w:color w:val="405CA1"/>
        </w:rPr>
        <w:t>VALOR TOTAL DA CONTRATAÇÃO</w:t>
      </w:r>
    </w:p>
    <w:p w14:paraId="439A7030">
      <w:pPr>
        <w:spacing w:before="120" w:after="120" w:line="240" w:lineRule="auto"/>
        <w:jc w:val="both"/>
        <w:rPr>
          <w:rFonts w:cstheme="minorHAnsi"/>
          <w:bCs/>
        </w:rPr>
      </w:pPr>
      <w:r>
        <w:rPr>
          <w:rFonts w:cstheme="minorHAnsi"/>
        </w:rPr>
        <w:t xml:space="preserve">R$ </w:t>
      </w:r>
      <w:r>
        <w:rPr>
          <w:rFonts w:cstheme="minorHAnsi"/>
          <w:b/>
          <w:bCs/>
          <w:lang w:val="en-US"/>
        </w:rPr>
        <w:t>1.555.585,60</w:t>
      </w:r>
    </w:p>
    <w:p w14:paraId="47A3F576">
      <w:pPr>
        <w:spacing w:before="120" w:after="120" w:line="240" w:lineRule="auto"/>
        <w:jc w:val="both"/>
        <w:rPr>
          <w:rFonts w:cstheme="minorHAnsi"/>
          <w:b/>
          <w:bCs/>
        </w:rPr>
      </w:pPr>
    </w:p>
    <w:p w14:paraId="6118F186">
      <w:pPr>
        <w:spacing w:before="120" w:after="120" w:line="240" w:lineRule="auto"/>
        <w:rPr>
          <w:rFonts w:cstheme="minorHAnsi"/>
          <w:b/>
          <w:bCs/>
          <w:color w:val="405CA1"/>
        </w:rPr>
      </w:pPr>
      <w:r>
        <w:rPr>
          <w:rFonts w:cstheme="minorHAnsi"/>
          <w:b/>
          <w:bCs/>
          <w:color w:val="405CA1"/>
        </w:rPr>
        <w:t>DATA DA SESSÃO PÚBLICA</w:t>
      </w:r>
    </w:p>
    <w:p w14:paraId="237F0AA7">
      <w:pPr>
        <w:spacing w:before="120" w:after="120" w:line="240" w:lineRule="auto"/>
        <w:jc w:val="both"/>
        <w:rPr>
          <w:rFonts w:cstheme="minorHAnsi"/>
        </w:rPr>
      </w:pPr>
      <w:r>
        <w:rPr>
          <w:rFonts w:cstheme="minorHAnsi"/>
        </w:rPr>
        <w:t xml:space="preserve">DIA </w:t>
      </w:r>
      <w:r>
        <w:rPr>
          <w:rFonts w:hint="default" w:cstheme="minorHAnsi"/>
          <w:lang w:val="pt-BR"/>
        </w:rPr>
        <w:t xml:space="preserve"> 27</w:t>
      </w:r>
      <w:bookmarkStart w:id="136" w:name="_GoBack"/>
      <w:bookmarkEnd w:id="136"/>
      <w:r>
        <w:rPr>
          <w:rFonts w:cstheme="minorHAnsi"/>
        </w:rPr>
        <w:t>/</w:t>
      </w:r>
      <w:r>
        <w:rPr>
          <w:rFonts w:hint="default" w:cstheme="minorHAnsi"/>
          <w:lang w:val="pt-BR"/>
        </w:rPr>
        <w:t>05</w:t>
      </w:r>
      <w:r>
        <w:rPr>
          <w:rFonts w:cstheme="minorHAnsi"/>
        </w:rPr>
        <w:t>/</w:t>
      </w:r>
      <w:r>
        <w:rPr>
          <w:rFonts w:hint="default" w:cstheme="minorHAnsi"/>
          <w:lang w:val="pt-BR"/>
        </w:rPr>
        <w:t>2026</w:t>
      </w:r>
      <w:r>
        <w:rPr>
          <w:rFonts w:cstheme="minorHAnsi"/>
        </w:rPr>
        <w:t xml:space="preserve"> ÀS </w:t>
      </w:r>
      <w:r>
        <w:rPr>
          <w:rFonts w:hint="default" w:cstheme="minorHAnsi"/>
          <w:lang w:val="pt-BR"/>
        </w:rPr>
        <w:t>09:00</w:t>
      </w:r>
      <w:r>
        <w:rPr>
          <w:rFonts w:cstheme="minorHAnsi"/>
        </w:rPr>
        <w:t>H (HORÁRIO DE BRASÍLIA)</w:t>
      </w:r>
    </w:p>
    <w:p w14:paraId="34B55878">
      <w:pPr>
        <w:spacing w:before="120" w:after="120" w:line="240" w:lineRule="auto"/>
        <w:jc w:val="both"/>
        <w:rPr>
          <w:rFonts w:cstheme="minorHAnsi"/>
          <w:b/>
          <w:bCs/>
          <w:caps/>
          <w:color w:val="405CA1"/>
        </w:rPr>
      </w:pPr>
    </w:p>
    <w:p w14:paraId="68F92FD0">
      <w:pPr>
        <w:spacing w:before="120" w:after="120" w:line="240" w:lineRule="auto"/>
        <w:jc w:val="both"/>
        <w:rPr>
          <w:rFonts w:cstheme="minorHAnsi"/>
          <w:caps/>
          <w:color w:val="0000FF"/>
        </w:rPr>
      </w:pPr>
      <w:r>
        <w:rPr>
          <w:rFonts w:cstheme="minorHAnsi"/>
          <w:b/>
          <w:bCs/>
          <w:caps/>
          <w:color w:val="405CA1"/>
        </w:rPr>
        <w:t>Critério de Julgamento:</w:t>
      </w:r>
    </w:p>
    <w:p w14:paraId="1CCEEE48">
      <w:pPr>
        <w:spacing w:before="120" w:after="120" w:line="240" w:lineRule="auto"/>
        <w:jc w:val="both"/>
        <w:rPr>
          <w:rFonts w:cstheme="minorHAnsi"/>
        </w:rPr>
      </w:pPr>
      <w:r>
        <w:rPr>
          <w:rFonts w:cstheme="minorHAnsi"/>
        </w:rPr>
        <w:t xml:space="preserve">MENOR PREÇO POR ITEM </w:t>
      </w:r>
    </w:p>
    <w:p w14:paraId="7DA1AF77">
      <w:pPr>
        <w:spacing w:before="120" w:after="120" w:line="240" w:lineRule="auto"/>
        <w:jc w:val="both"/>
        <w:rPr>
          <w:rFonts w:cstheme="minorHAnsi"/>
          <w:b/>
          <w:bCs/>
          <w:caps/>
          <w:color w:val="405CA1"/>
        </w:rPr>
      </w:pPr>
    </w:p>
    <w:p w14:paraId="301591D9">
      <w:pPr>
        <w:spacing w:before="120" w:after="120" w:line="240" w:lineRule="auto"/>
        <w:jc w:val="both"/>
        <w:rPr>
          <w:rFonts w:cstheme="minorHAnsi"/>
          <w:caps/>
        </w:rPr>
      </w:pPr>
      <w:r>
        <w:rPr>
          <w:rFonts w:cstheme="minorHAnsi"/>
          <w:b/>
          <w:bCs/>
          <w:caps/>
          <w:color w:val="405CA1"/>
        </w:rPr>
        <w:t>Modo de disputa:</w:t>
      </w:r>
    </w:p>
    <w:p w14:paraId="5240A38C">
      <w:pPr>
        <w:spacing w:before="120" w:after="120" w:line="240" w:lineRule="auto"/>
        <w:jc w:val="both"/>
        <w:rPr>
          <w:rFonts w:cstheme="minorHAnsi"/>
        </w:rPr>
      </w:pPr>
      <w:r>
        <w:rPr>
          <w:rFonts w:cstheme="minorHAnsi"/>
        </w:rPr>
        <w:t>ABERTO E FECHADO</w:t>
      </w:r>
    </w:p>
    <w:p w14:paraId="4EBB08C5">
      <w:pPr>
        <w:spacing w:before="120" w:after="120" w:line="240" w:lineRule="auto"/>
        <w:rPr>
          <w:rFonts w:cstheme="minorHAnsi"/>
          <w:b/>
          <w:bCs/>
          <w:color w:val="405CA1"/>
        </w:rPr>
      </w:pPr>
    </w:p>
    <w:p w14:paraId="6F60BAE8">
      <w:pPr>
        <w:spacing w:before="120" w:after="120" w:line="240" w:lineRule="auto"/>
        <w:rPr>
          <w:rFonts w:cstheme="minorHAnsi"/>
          <w:b/>
          <w:bCs/>
          <w:color w:val="405CA1"/>
        </w:rPr>
      </w:pPr>
      <w:r>
        <w:rPr>
          <w:rFonts w:cstheme="minorHAnsi"/>
          <w:b/>
          <w:bCs/>
          <w:color w:val="405CA1"/>
        </w:rPr>
        <w:t>PREFERÊNCIA ME/EPP/EQUIPARADAS</w:t>
      </w:r>
    </w:p>
    <w:p w14:paraId="627C7699">
      <w:pPr>
        <w:spacing w:before="120" w:after="120" w:line="240" w:lineRule="auto"/>
        <w:rPr>
          <w:rFonts w:cstheme="minorHAnsi"/>
          <w:bCs/>
        </w:rPr>
      </w:pPr>
      <w:r>
        <w:rPr>
          <w:rFonts w:cstheme="minorHAnsi"/>
          <w:bCs/>
        </w:rPr>
        <w:t>SIM</w:t>
      </w:r>
    </w:p>
    <w:p w14:paraId="5AE9B11B">
      <w:pPr>
        <w:spacing w:before="120" w:after="120" w:line="240" w:lineRule="auto"/>
        <w:rPr>
          <w:rFonts w:cstheme="minorHAnsi"/>
          <w:bCs/>
        </w:rPr>
      </w:pPr>
    </w:p>
    <w:p w14:paraId="08107922">
      <w:pPr>
        <w:spacing w:before="120" w:after="120" w:line="240" w:lineRule="auto"/>
        <w:rPr>
          <w:rFonts w:cstheme="minorHAnsi"/>
          <w:b/>
          <w:bCs/>
          <w:color w:val="405CA1"/>
        </w:rPr>
      </w:pPr>
      <w:r>
        <w:rPr>
          <w:rFonts w:cstheme="minorHAnsi"/>
          <w:b/>
          <w:bCs/>
          <w:color w:val="405CA1"/>
        </w:rPr>
        <w:t>MARGEM DE PREFERÊNCIA PARA ALGUM ITEM</w:t>
      </w:r>
    </w:p>
    <w:p w14:paraId="4BFD84B3">
      <w:pPr>
        <w:spacing w:before="120" w:after="120" w:line="240" w:lineRule="auto"/>
        <w:rPr>
          <w:rFonts w:cstheme="minorHAnsi"/>
          <w:bCs/>
        </w:rPr>
      </w:pPr>
      <w:r>
        <w:rPr>
          <w:rFonts w:cstheme="minorHAnsi"/>
          <w:bCs/>
        </w:rPr>
        <w:t>SIM</w:t>
      </w:r>
    </w:p>
    <w:p w14:paraId="35B18CAE">
      <w:pPr>
        <w:spacing w:before="120" w:after="120" w:line="360" w:lineRule="auto"/>
        <w:rPr>
          <w:rFonts w:cstheme="minorHAnsi"/>
          <w:bCs/>
        </w:rPr>
      </w:pPr>
    </w:p>
    <w:p w14:paraId="5C2BD4EA">
      <w:pPr>
        <w:spacing w:before="120" w:after="120" w:line="360" w:lineRule="auto"/>
        <w:rPr>
          <w:rFonts w:cstheme="minorHAnsi"/>
          <w:bCs/>
        </w:rPr>
      </w:pPr>
    </w:p>
    <w:p w14:paraId="7D6A4BAC">
      <w:pPr>
        <w:spacing w:before="120" w:after="120" w:line="360" w:lineRule="auto"/>
        <w:rPr>
          <w:rFonts w:cstheme="minorHAnsi"/>
          <w:bCs/>
        </w:rPr>
      </w:pPr>
    </w:p>
    <w:p w14:paraId="6912FA06">
      <w:pPr>
        <w:spacing w:before="120" w:after="120" w:line="360" w:lineRule="auto"/>
        <w:rPr>
          <w:rFonts w:cstheme="minorHAnsi"/>
          <w:bCs/>
        </w:rPr>
      </w:pPr>
    </w:p>
    <w:p w14:paraId="74511E97">
      <w:pPr>
        <w:spacing w:before="120" w:after="120" w:line="360" w:lineRule="auto"/>
        <w:rPr>
          <w:rFonts w:cstheme="minorHAnsi"/>
          <w:bCs/>
        </w:rPr>
      </w:pPr>
    </w:p>
    <w:p w14:paraId="6893EC95">
      <w:pPr>
        <w:spacing w:before="120" w:after="120" w:line="360" w:lineRule="auto"/>
        <w:rPr>
          <w:rFonts w:cstheme="minorHAnsi"/>
          <w:bCs/>
        </w:rPr>
      </w:pPr>
    </w:p>
    <w:p w14:paraId="5F5D4A1F">
      <w:pPr>
        <w:spacing w:before="120" w:after="120" w:line="360" w:lineRule="auto"/>
        <w:rPr>
          <w:rFonts w:cstheme="minorHAnsi"/>
          <w:b/>
          <w:bCs/>
        </w:rPr>
      </w:pPr>
      <w:r>
        <w:rPr>
          <w:rFonts w:cstheme="minorHAnsi"/>
          <w:b/>
          <w:bCs/>
        </w:rPr>
        <w:t>SUMÁRIO</w:t>
      </w:r>
    </w:p>
    <w:p w14:paraId="3BD1D55E">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653A5574">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2816768A">
      <w:pPr>
        <w:pStyle w:val="38"/>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5ACF21DA">
      <w:pPr>
        <w:pStyle w:val="38"/>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531B175C">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478810FF">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75CD2499">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7F220C69">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165C8D59">
      <w:pPr>
        <w:pStyle w:val="38"/>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0F2F57EE">
      <w:pPr>
        <w:pStyle w:val="38"/>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3B734C5C">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354FC967">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054657EF">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4D325A24">
      <w:pPr>
        <w:pStyle w:val="38"/>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2EB3D442">
      <w:pPr>
        <w:pStyle w:val="38"/>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5C3B3023">
      <w:pPr>
        <w:pStyle w:val="38"/>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2271E43E">
      <w:pPr>
        <w:spacing w:before="288" w:beforeLines="120" w:after="288" w:afterLines="120" w:line="360" w:lineRule="auto"/>
        <w:ind w:firstLine="567"/>
        <w:jc w:val="center"/>
        <w:rPr>
          <w:rFonts w:cstheme="minorHAnsi"/>
          <w:b/>
          <w:color w:val="FF0000"/>
        </w:rPr>
      </w:pPr>
    </w:p>
    <w:p w14:paraId="70419A99">
      <w:pPr>
        <w:spacing w:before="288" w:beforeLines="120" w:after="288" w:afterLines="120" w:line="360" w:lineRule="auto"/>
        <w:ind w:firstLine="567"/>
        <w:jc w:val="center"/>
        <w:rPr>
          <w:rFonts w:cstheme="minorHAnsi"/>
          <w:b/>
          <w:color w:val="FF0000"/>
        </w:rPr>
      </w:pPr>
    </w:p>
    <w:p w14:paraId="3AF9413C">
      <w:pPr>
        <w:spacing w:before="288" w:beforeLines="120" w:after="288" w:afterLines="120" w:line="360" w:lineRule="auto"/>
        <w:ind w:firstLine="567"/>
        <w:jc w:val="center"/>
        <w:rPr>
          <w:rFonts w:cstheme="minorHAnsi"/>
          <w:b/>
          <w:color w:val="FF0000"/>
        </w:rPr>
      </w:pPr>
    </w:p>
    <w:p w14:paraId="282C96FF">
      <w:pPr>
        <w:spacing w:before="288" w:beforeLines="120" w:after="288" w:afterLines="120" w:line="360" w:lineRule="auto"/>
        <w:ind w:firstLine="567"/>
        <w:jc w:val="center"/>
        <w:rPr>
          <w:rFonts w:cstheme="minorHAnsi"/>
          <w:b/>
          <w:color w:val="FF0000"/>
        </w:rPr>
      </w:pPr>
    </w:p>
    <w:p w14:paraId="1629F8AD">
      <w:pPr>
        <w:spacing w:before="288" w:beforeLines="120" w:after="288" w:afterLines="120" w:line="360" w:lineRule="auto"/>
        <w:ind w:firstLine="567"/>
        <w:jc w:val="center"/>
        <w:rPr>
          <w:rFonts w:cstheme="minorHAnsi"/>
          <w:b/>
          <w:color w:val="FF0000"/>
        </w:rPr>
      </w:pPr>
    </w:p>
    <w:p w14:paraId="38432012">
      <w:pPr>
        <w:spacing w:after="0" w:line="240" w:lineRule="auto"/>
        <w:ind w:firstLine="567"/>
        <w:jc w:val="center"/>
        <w:rPr>
          <w:rFonts w:cstheme="minorHAnsi"/>
          <w:b/>
          <w:bCs/>
          <w:color w:val="FF0000"/>
        </w:rPr>
      </w:pPr>
      <w:r>
        <w:rPr>
          <w:rFonts w:cstheme="minorHAnsi"/>
          <w:b/>
          <w:color w:val="FF0000"/>
        </w:rPr>
        <w:t>COMPLEXO HOSPITALAR E DE SAÚDE - UFBA</w:t>
      </w:r>
    </w:p>
    <w:p w14:paraId="4AD23747">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90037/2026</w:t>
      </w:r>
    </w:p>
    <w:p w14:paraId="3E0FFAC6">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23066.014123/2026-14</w:t>
      </w:r>
    </w:p>
    <w:p w14:paraId="5C49673A">
      <w:pPr>
        <w:spacing w:after="0" w:line="240" w:lineRule="auto"/>
        <w:ind w:firstLine="567"/>
        <w:jc w:val="center"/>
        <w:rPr>
          <w:rFonts w:cstheme="minorHAnsi"/>
          <w:bCs/>
          <w:color w:val="000000"/>
        </w:rPr>
      </w:pPr>
    </w:p>
    <w:p w14:paraId="4282006D">
      <w:pPr>
        <w:spacing w:after="0" w:line="240" w:lineRule="auto"/>
        <w:ind w:firstLine="567"/>
        <w:jc w:val="center"/>
        <w:rPr>
          <w:rFonts w:cstheme="minorHAnsi"/>
          <w:bCs/>
          <w:color w:val="000000"/>
        </w:rPr>
      </w:pPr>
    </w:p>
    <w:p w14:paraId="30CD03E1">
      <w:pPr>
        <w:spacing w:after="0" w:line="240" w:lineRule="auto"/>
        <w:ind w:firstLine="567"/>
        <w:jc w:val="center"/>
        <w:rPr>
          <w:rFonts w:cstheme="minorHAnsi"/>
          <w:bCs/>
          <w:color w:val="000000"/>
        </w:rPr>
      </w:pPr>
    </w:p>
    <w:p w14:paraId="0438627B">
      <w:pPr>
        <w:spacing w:after="0" w:line="240" w:lineRule="auto"/>
        <w:ind w:firstLine="567"/>
        <w:jc w:val="center"/>
        <w:rPr>
          <w:rFonts w:cstheme="minorHAnsi"/>
          <w:bCs/>
          <w:color w:val="000000"/>
        </w:rPr>
      </w:pPr>
    </w:p>
    <w:p w14:paraId="56B37D68">
      <w:pPr>
        <w:pStyle w:val="51"/>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9"/>
          <w:rFonts w:asciiTheme="minorHAnsi" w:hAnsiTheme="minorHAnsi" w:cstheme="minorHAnsi"/>
          <w:color w:val="FF0000"/>
        </w:rPr>
        <w:t>Rua Barão de Jeremoabo</w:t>
      </w:r>
      <w:r>
        <w:rPr>
          <w:rFonts w:asciiTheme="minorHAnsi" w:hAnsiTheme="minorHAnsi" w:cstheme="minorHAnsi"/>
          <w:color w:val="FF0000"/>
        </w:rPr>
        <w:t>,</w:t>
      </w:r>
      <w:r>
        <w:rPr>
          <w:rStyle w:val="48"/>
          <w:rFonts w:asciiTheme="minorHAnsi" w:hAnsiTheme="minorHAnsi" w:cstheme="minorHAnsi"/>
          <w:color w:val="FF0000"/>
        </w:rPr>
        <w:t> </w:t>
      </w:r>
      <w:r>
        <w:rPr>
          <w:rStyle w:val="49"/>
          <w:rFonts w:asciiTheme="minorHAnsi" w:hAnsiTheme="minorHAnsi" w:cstheme="minorHAnsi"/>
          <w:color w:val="FF0000"/>
        </w:rPr>
        <w:t>s/n</w:t>
      </w:r>
      <w:r>
        <w:rPr>
          <w:rStyle w:val="48"/>
          <w:rFonts w:asciiTheme="minorHAnsi" w:hAnsiTheme="minorHAnsi" w:cstheme="minorHAnsi"/>
          <w:color w:val="FF0000"/>
        </w:rPr>
        <w:t>,</w:t>
      </w:r>
      <w:r>
        <w:rPr>
          <w:rFonts w:asciiTheme="minorHAnsi" w:hAnsiTheme="minorHAnsi" w:cstheme="minorHAnsi"/>
          <w:color w:val="FF0000"/>
        </w:rPr>
        <w:t xml:space="preserve"> 1º andar,</w:t>
      </w:r>
      <w:r>
        <w:rPr>
          <w:rStyle w:val="49"/>
          <w:rFonts w:asciiTheme="minorHAnsi" w:hAnsiTheme="minorHAnsi" w:cstheme="minorHAnsi"/>
          <w:color w:val="FF0000"/>
        </w:rPr>
        <w:t xml:space="preserve"> Ondina</w:t>
      </w:r>
      <w:r>
        <w:rPr>
          <w:rFonts w:asciiTheme="minorHAnsi" w:hAnsiTheme="minorHAnsi" w:cstheme="minorHAnsi"/>
          <w:color w:val="FF0000"/>
        </w:rPr>
        <w:t>,</w:t>
      </w:r>
      <w:r>
        <w:rPr>
          <w:rStyle w:val="48"/>
          <w:rFonts w:asciiTheme="minorHAnsi" w:hAnsiTheme="minorHAnsi" w:cstheme="minorHAnsi"/>
          <w:color w:val="FF0000"/>
        </w:rPr>
        <w:t xml:space="preserve"> CEP: </w:t>
      </w:r>
      <w:r>
        <w:rPr>
          <w:rStyle w:val="49"/>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2A4063B2">
      <w:pPr>
        <w:pStyle w:val="51"/>
        <w:spacing w:line="360" w:lineRule="auto"/>
        <w:rPr>
          <w:rFonts w:asciiTheme="minorHAnsi" w:hAnsiTheme="minorHAnsi" w:cstheme="minorHAnsi"/>
        </w:rPr>
      </w:pPr>
    </w:p>
    <w:p w14:paraId="4A4A9C0D">
      <w:pPr>
        <w:pStyle w:val="74"/>
        <w:numPr>
          <w:ilvl w:val="0"/>
          <w:numId w:val="8"/>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447B0A0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AQUISIÇÃO DE MATERIAL MÉDICO HOSPITALAR</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714B3F66">
      <w:pPr>
        <w:pStyle w:val="51"/>
        <w:numPr>
          <w:ilvl w:val="1"/>
          <w:numId w:val="8"/>
        </w:numPr>
        <w:spacing w:line="360" w:lineRule="auto"/>
        <w:ind w:left="0" w:firstLine="0"/>
        <w:rPr>
          <w:rFonts w:asciiTheme="minorHAnsi" w:hAnsiTheme="minorHAnsi" w:cstheme="minorHAnsi"/>
        </w:rPr>
      </w:pPr>
      <w:bookmarkStart w:id="2" w:name="_Toc135469196"/>
      <w:bookmarkStart w:id="3" w:name="_Toc193719191"/>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6A4B4B1E">
      <w:pPr>
        <w:pStyle w:val="74"/>
        <w:numPr>
          <w:ilvl w:val="0"/>
          <w:numId w:val="8"/>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3BBAA79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3EA13C32">
      <w:pPr>
        <w:pStyle w:val="74"/>
        <w:numPr>
          <w:ilvl w:val="0"/>
          <w:numId w:val="8"/>
        </w:numPr>
        <w:spacing w:line="360" w:lineRule="auto"/>
        <w:rPr>
          <w:rFonts w:asciiTheme="minorHAnsi" w:hAnsiTheme="minorHAnsi" w:cstheme="minorHAnsi"/>
          <w:sz w:val="22"/>
          <w:szCs w:val="22"/>
        </w:rPr>
      </w:pPr>
      <w:bookmarkStart w:id="4" w:name="_Toc193719192"/>
      <w:bookmarkStart w:id="5" w:name="_Toc135469197"/>
      <w:r>
        <w:rPr>
          <w:rFonts w:asciiTheme="minorHAnsi" w:hAnsiTheme="minorHAnsi" w:cstheme="minorHAnsi"/>
          <w:sz w:val="22"/>
          <w:szCs w:val="22"/>
        </w:rPr>
        <w:t>DA PARTICIPAÇÃO NA LICITAÇÃO</w:t>
      </w:r>
      <w:bookmarkEnd w:id="4"/>
      <w:bookmarkEnd w:id="5"/>
    </w:p>
    <w:p w14:paraId="0C2C440F">
      <w:pPr>
        <w:pStyle w:val="51"/>
        <w:numPr>
          <w:ilvl w:val="1"/>
          <w:numId w:val="8"/>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036C6210">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0C17F60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CDF2B1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FF840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209141DF">
      <w:pPr>
        <w:pStyle w:val="51"/>
        <w:numPr>
          <w:ilvl w:val="1"/>
          <w:numId w:val="8"/>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3D6D59F6">
      <w:pPr>
        <w:pStyle w:val="52"/>
        <w:numPr>
          <w:ilvl w:val="2"/>
          <w:numId w:val="9"/>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299B722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6179FD57">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0B2490C1">
      <w:pPr>
        <w:pStyle w:val="52"/>
        <w:numPr>
          <w:ilvl w:val="2"/>
          <w:numId w:val="9"/>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302F6CF0">
      <w:pPr>
        <w:pStyle w:val="52"/>
        <w:numPr>
          <w:ilvl w:val="2"/>
          <w:numId w:val="9"/>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4E6D8FC8">
      <w:pPr>
        <w:pStyle w:val="52"/>
        <w:numPr>
          <w:ilvl w:val="2"/>
          <w:numId w:val="9"/>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4067569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09EF3E">
      <w:pPr>
        <w:pStyle w:val="52"/>
        <w:numPr>
          <w:ilvl w:val="2"/>
          <w:numId w:val="9"/>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151AA63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201B286">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09161EA0">
      <w:pPr>
        <w:pStyle w:val="51"/>
        <w:numPr>
          <w:ilvl w:val="1"/>
          <w:numId w:val="8"/>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221B01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1681784">
      <w:pPr>
        <w:pStyle w:val="51"/>
        <w:numPr>
          <w:ilvl w:val="1"/>
          <w:numId w:val="8"/>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51A9309C">
      <w:pPr>
        <w:pStyle w:val="51"/>
        <w:numPr>
          <w:ilvl w:val="1"/>
          <w:numId w:val="8"/>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0C1C39AB">
      <w:pPr>
        <w:pStyle w:val="51"/>
        <w:numPr>
          <w:ilvl w:val="1"/>
          <w:numId w:val="8"/>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F2D0DFC">
      <w:pPr>
        <w:pStyle w:val="51"/>
        <w:numPr>
          <w:ilvl w:val="1"/>
          <w:numId w:val="8"/>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338F98E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595064FB">
      <w:pPr>
        <w:pStyle w:val="74"/>
        <w:numPr>
          <w:ilvl w:val="0"/>
          <w:numId w:val="8"/>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48418BE8">
      <w:pPr>
        <w:pStyle w:val="58"/>
        <w:numPr>
          <w:ilvl w:val="1"/>
          <w:numId w:val="8"/>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021132A1">
      <w:pPr>
        <w:pStyle w:val="74"/>
        <w:numPr>
          <w:ilvl w:val="0"/>
          <w:numId w:val="8"/>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75F9BC77">
      <w:pPr>
        <w:pStyle w:val="58"/>
        <w:numPr>
          <w:ilvl w:val="1"/>
          <w:numId w:val="8"/>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3A79AFF5">
      <w:pPr>
        <w:pStyle w:val="51"/>
        <w:numPr>
          <w:ilvl w:val="1"/>
          <w:numId w:val="8"/>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855E378">
      <w:pPr>
        <w:pStyle w:val="51"/>
        <w:numPr>
          <w:ilvl w:val="1"/>
          <w:numId w:val="8"/>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4AAA66EB">
      <w:pPr>
        <w:pStyle w:val="51"/>
        <w:numPr>
          <w:ilvl w:val="1"/>
          <w:numId w:val="8"/>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02162B0B">
      <w:pPr>
        <w:pStyle w:val="52"/>
        <w:numPr>
          <w:ilvl w:val="2"/>
          <w:numId w:val="9"/>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8C5B9C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366935FA">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74BC15C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39B9E79A">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67C502FE">
      <w:pPr>
        <w:pStyle w:val="51"/>
        <w:numPr>
          <w:ilvl w:val="1"/>
          <w:numId w:val="8"/>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51610D2">
      <w:pPr>
        <w:pStyle w:val="51"/>
        <w:numPr>
          <w:ilvl w:val="1"/>
          <w:numId w:val="8"/>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027C43BF">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19DFAF10">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1500533A">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396726C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1F66D655">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7621617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F86260D">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67775A00">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3F75BC6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28126FC7">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10953AD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884424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36FC1CE0">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71E60426">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5BA92EBE">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23AF48D1">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70D91B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2865DCE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28146948">
      <w:pPr>
        <w:pStyle w:val="51"/>
        <w:numPr>
          <w:ilvl w:val="1"/>
          <w:numId w:val="8"/>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35C58BBA">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11DD316D">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2EA7C01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2643863D">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0554B29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5C25D83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7323EE5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A789CA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63AE3D29">
      <w:pPr>
        <w:pStyle w:val="74"/>
        <w:numPr>
          <w:ilvl w:val="0"/>
          <w:numId w:val="8"/>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51025274">
      <w:pPr>
        <w:pStyle w:val="51"/>
        <w:numPr>
          <w:ilvl w:val="1"/>
          <w:numId w:val="8"/>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0FE3537C">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2D5AEB90">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marca;</w:t>
      </w:r>
    </w:p>
    <w:p w14:paraId="04487C96">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54831C2C">
      <w:pPr>
        <w:pStyle w:val="52"/>
        <w:numPr>
          <w:ilvl w:val="2"/>
          <w:numId w:val="9"/>
        </w:numPr>
        <w:tabs>
          <w:tab w:val="clear" w:pos="360"/>
        </w:tabs>
        <w:spacing w:line="360" w:lineRule="auto"/>
        <w:ind w:left="284" w:firstLine="0"/>
        <w:rPr>
          <w:rFonts w:asciiTheme="minorHAnsi" w:hAnsiTheme="minorHAnsi" w:cstheme="minorHAnsi"/>
          <w:color w:val="auto"/>
          <w:highlight w:val="cyan"/>
        </w:rPr>
      </w:pPr>
      <w:r>
        <w:rPr>
          <w:rStyle w:val="83"/>
          <w:rFonts w:asciiTheme="minorHAnsi" w:hAnsiTheme="minorHAnsi" w:cstheme="minorHAnsi"/>
          <w:color w:val="FF0000"/>
          <w:highlight w:val="cyan"/>
        </w:rPr>
        <w:t>Quantidade cotada, devendo respeitar o mínimo de ......</w:t>
      </w:r>
    </w:p>
    <w:p w14:paraId="1A421AFA">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1F844FAA">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665DB501">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5E8BD2CE">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8C0C7CC">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0FDB680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6BD67007">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2F473744">
      <w:pPr>
        <w:pStyle w:val="58"/>
        <w:numPr>
          <w:ilvl w:val="1"/>
          <w:numId w:val="8"/>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15672518">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580BF9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021483A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454795A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592A14C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62EF965A">
      <w:pPr>
        <w:pStyle w:val="51"/>
        <w:numPr>
          <w:ilvl w:val="1"/>
          <w:numId w:val="8"/>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ABE3908">
      <w:pPr>
        <w:pStyle w:val="74"/>
        <w:numPr>
          <w:ilvl w:val="0"/>
          <w:numId w:val="8"/>
        </w:numPr>
        <w:spacing w:line="360" w:lineRule="auto"/>
        <w:rPr>
          <w:rFonts w:asciiTheme="minorHAnsi" w:hAnsiTheme="minorHAnsi" w:cstheme="minorHAnsi"/>
          <w:sz w:val="22"/>
          <w:szCs w:val="22"/>
        </w:rPr>
      </w:pPr>
      <w:bookmarkStart w:id="30" w:name="_Toc135469200"/>
      <w:bookmarkStart w:id="31" w:name="_Toc193719196"/>
      <w:r>
        <w:rPr>
          <w:rFonts w:asciiTheme="minorHAnsi" w:hAnsiTheme="minorHAnsi" w:cstheme="minorHAnsi"/>
          <w:sz w:val="22"/>
          <w:szCs w:val="22"/>
        </w:rPr>
        <w:t>DA ABERTURA DA SESSÃO, CLASSIFICAÇÃO DAS PROPOSTAS E FORMULAÇÃO DE LANCES</w:t>
      </w:r>
      <w:bookmarkEnd w:id="30"/>
      <w:bookmarkEnd w:id="31"/>
    </w:p>
    <w:p w14:paraId="60CAC4DB">
      <w:pPr>
        <w:pStyle w:val="51"/>
        <w:numPr>
          <w:ilvl w:val="1"/>
          <w:numId w:val="8"/>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44D48B68">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78A34567">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72A6C3C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3C7A35FC">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7DAAF49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416600E1">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3B6163D4">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25A3065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04EF599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32C3427A">
      <w:pPr>
        <w:pStyle w:val="51"/>
        <w:numPr>
          <w:ilvl w:val="1"/>
          <w:numId w:val="8"/>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3"/>
    <w:p w14:paraId="387C9ACB">
      <w:pPr>
        <w:pStyle w:val="52"/>
        <w:numPr>
          <w:ilvl w:val="2"/>
          <w:numId w:val="9"/>
        </w:numPr>
        <w:tabs>
          <w:tab w:val="clear" w:pos="360"/>
        </w:tabs>
        <w:spacing w:line="360" w:lineRule="auto"/>
        <w:ind w:left="284" w:firstLine="0"/>
        <w:rPr>
          <w:rFonts w:asciiTheme="minorHAnsi" w:hAnsiTheme="minorHAnsi" w:cstheme="minorHAnsi"/>
        </w:rPr>
      </w:pPr>
      <w:bookmarkStart w:id="34"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1EA0A1B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3FC2D5D5">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63241C4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2F6C603D">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4"/>
      <w:bookmarkStart w:id="35" w:name="_Hlk113631522"/>
    </w:p>
    <w:bookmarkEnd w:id="35"/>
    <w:p w14:paraId="39D4111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08AA58F6">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71B5C8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73BE348">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05BC339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3BDF268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DA906DA">
      <w:pPr>
        <w:pStyle w:val="52"/>
        <w:numPr>
          <w:ilvl w:val="2"/>
          <w:numId w:val="9"/>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bookmarkEnd w:id="36"/>
    <w:p w14:paraId="4E7A7736">
      <w:pPr>
        <w:pStyle w:val="51"/>
        <w:numPr>
          <w:ilvl w:val="1"/>
          <w:numId w:val="8"/>
        </w:numPr>
        <w:spacing w:line="360" w:lineRule="auto"/>
        <w:ind w:left="0" w:firstLine="0"/>
        <w:rPr>
          <w:rFonts w:asciiTheme="minorHAnsi" w:hAnsiTheme="minorHAnsi" w:cstheme="minorHAnsi"/>
        </w:rPr>
      </w:pPr>
      <w:bookmarkStart w:id="37"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6A6DF352">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38EF6B2E">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3E94D96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26CF626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1A87BC4E">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64F709A0">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39E5E94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3548693C">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7C70AEA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0BD30A77">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12E9FD0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3DE5ECF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04DB080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4BA070C3">
      <w:pPr>
        <w:pStyle w:val="51"/>
        <w:numPr>
          <w:ilvl w:val="1"/>
          <w:numId w:val="8"/>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45E722D3">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C0B6CE2">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067FBE4A">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F0EB6C7">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8FDC9B4">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720DDC43">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73C656D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88FC2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51AF133B">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E556E16">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33FE7AC">
      <w:pPr>
        <w:pStyle w:val="51"/>
        <w:numPr>
          <w:ilvl w:val="1"/>
          <w:numId w:val="8"/>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3CC24B9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78B1854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719F881E">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711E9EC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721D42D7">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253C6418">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10283898">
      <w:pPr>
        <w:pStyle w:val="52"/>
        <w:numPr>
          <w:ilvl w:val="2"/>
          <w:numId w:val="9"/>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0EE585D">
      <w:pPr>
        <w:pStyle w:val="52"/>
        <w:numPr>
          <w:ilvl w:val="2"/>
          <w:numId w:val="9"/>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0A94F3F5">
      <w:pPr>
        <w:pStyle w:val="52"/>
        <w:numPr>
          <w:ilvl w:val="2"/>
          <w:numId w:val="9"/>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15E0B044">
      <w:pPr>
        <w:pStyle w:val="52"/>
        <w:numPr>
          <w:ilvl w:val="2"/>
          <w:numId w:val="9"/>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75630EFC">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63061FDF">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55138193">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741E1">
      <w:pPr>
        <w:pStyle w:val="52"/>
        <w:numPr>
          <w:ilvl w:val="2"/>
          <w:numId w:val="9"/>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0130AAA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32536E7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3041DF20">
      <w:pPr>
        <w:pStyle w:val="52"/>
        <w:numPr>
          <w:ilvl w:val="2"/>
          <w:numId w:val="9"/>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755232C2">
      <w:pPr>
        <w:pStyle w:val="51"/>
        <w:numPr>
          <w:ilvl w:val="1"/>
          <w:numId w:val="8"/>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18C1CEB9">
      <w:pPr>
        <w:pStyle w:val="51"/>
        <w:spacing w:line="360" w:lineRule="auto"/>
        <w:rPr>
          <w:rFonts w:eastAsia="Times New Roman" w:asciiTheme="minorHAnsi" w:hAnsiTheme="minorHAnsi" w:cstheme="minorHAnsi"/>
        </w:rPr>
      </w:pPr>
    </w:p>
    <w:p w14:paraId="205EA3DA">
      <w:pPr>
        <w:pStyle w:val="74"/>
        <w:numPr>
          <w:ilvl w:val="0"/>
          <w:numId w:val="8"/>
        </w:numPr>
        <w:spacing w:before="0" w:beforeLines="0" w:after="0" w:afterLines="0" w:line="360" w:lineRule="auto"/>
        <w:rPr>
          <w:rFonts w:asciiTheme="minorHAnsi" w:hAnsiTheme="minorHAnsi" w:cstheme="minorHAnsi"/>
          <w:sz w:val="22"/>
          <w:szCs w:val="22"/>
        </w:rPr>
      </w:pPr>
      <w:bookmarkStart w:id="43" w:name="_Toc193719197"/>
      <w:bookmarkStart w:id="44" w:name="_Toc135469201"/>
      <w:r>
        <w:rPr>
          <w:rFonts w:asciiTheme="minorHAnsi" w:hAnsiTheme="minorHAnsi" w:cstheme="minorHAnsi"/>
          <w:sz w:val="22"/>
          <w:szCs w:val="22"/>
        </w:rPr>
        <w:t>DA FASE DE JULGAMENTO</w:t>
      </w:r>
      <w:bookmarkEnd w:id="43"/>
      <w:bookmarkEnd w:id="44"/>
    </w:p>
    <w:p w14:paraId="30EDA750">
      <w:pPr>
        <w:pStyle w:val="51"/>
        <w:numPr>
          <w:ilvl w:val="1"/>
          <w:numId w:val="8"/>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3F1294E3">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5D65F890">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75622C2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3DF09B65">
      <w:pPr>
        <w:pStyle w:val="52"/>
        <w:numPr>
          <w:ilvl w:val="2"/>
          <w:numId w:val="9"/>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3710C624">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779D9E8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1FA768D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307D3C57">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199BEFDD">
      <w:pPr>
        <w:pStyle w:val="51"/>
        <w:numPr>
          <w:ilvl w:val="1"/>
          <w:numId w:val="8"/>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4EE4E2C4">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1ABE2647">
      <w:pPr>
        <w:pStyle w:val="52"/>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022B584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67237D8B">
      <w:pPr>
        <w:pStyle w:val="51"/>
        <w:numPr>
          <w:ilvl w:val="1"/>
          <w:numId w:val="8"/>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2B1C567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50C3441F">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2920FB46">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3E079967">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380AF8AA">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606725AA">
      <w:pPr>
        <w:pStyle w:val="51"/>
        <w:numPr>
          <w:ilvl w:val="1"/>
          <w:numId w:val="8"/>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4183104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415E983D">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4F3A742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58C58C4F">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2E3BA95B">
      <w:pPr>
        <w:pStyle w:val="51"/>
        <w:numPr>
          <w:ilvl w:val="1"/>
          <w:numId w:val="8"/>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661FC1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01854B2B">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7E56323">
      <w:pPr>
        <w:pStyle w:val="51"/>
        <w:numPr>
          <w:ilvl w:val="1"/>
          <w:numId w:val="8"/>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A188FAD">
      <w:pPr>
        <w:pStyle w:val="51"/>
        <w:numPr>
          <w:ilvl w:val="1"/>
          <w:numId w:val="8"/>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13538C74">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317796E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6B4F5C9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20FF6920">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1C8249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6051D205">
      <w:pPr>
        <w:pStyle w:val="74"/>
        <w:numPr>
          <w:ilvl w:val="0"/>
          <w:numId w:val="8"/>
        </w:numPr>
        <w:spacing w:before="0" w:beforeLines="0" w:after="0" w:afterLines="0" w:line="360" w:lineRule="auto"/>
        <w:rPr>
          <w:rFonts w:asciiTheme="minorHAnsi" w:hAnsiTheme="minorHAnsi" w:cstheme="minorHAnsi"/>
          <w:sz w:val="22"/>
          <w:szCs w:val="22"/>
        </w:rPr>
      </w:pPr>
      <w:bookmarkStart w:id="48" w:name="_Toc135469202"/>
      <w:bookmarkStart w:id="49" w:name="_Toc193719198"/>
      <w:r>
        <w:rPr>
          <w:rFonts w:asciiTheme="minorHAnsi" w:hAnsiTheme="minorHAnsi" w:cstheme="minorHAnsi"/>
          <w:sz w:val="22"/>
          <w:szCs w:val="22"/>
        </w:rPr>
        <w:t>DA FASE DE HABILITAÇÃO</w:t>
      </w:r>
      <w:bookmarkEnd w:id="48"/>
      <w:bookmarkEnd w:id="49"/>
    </w:p>
    <w:p w14:paraId="2EE8C085">
      <w:pPr>
        <w:pStyle w:val="51"/>
        <w:numPr>
          <w:ilvl w:val="1"/>
          <w:numId w:val="8"/>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0EE2E7F8">
      <w:pPr>
        <w:pStyle w:val="52"/>
        <w:numPr>
          <w:ilvl w:val="2"/>
          <w:numId w:val="9"/>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0FAF7156">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012BCE4F">
      <w:pPr>
        <w:pStyle w:val="51"/>
        <w:numPr>
          <w:ilvl w:val="1"/>
          <w:numId w:val="8"/>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07B1CBB">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87C0A1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3EBDB3E3">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3821B78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008025FF">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7B3FEB0">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196A09">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1351544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59F8A76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5C61A0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3187267A">
      <w:pPr>
        <w:pStyle w:val="51"/>
        <w:numPr>
          <w:ilvl w:val="1"/>
          <w:numId w:val="8"/>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68E07ADA">
      <w:pPr>
        <w:pStyle w:val="52"/>
        <w:numPr>
          <w:ilvl w:val="2"/>
          <w:numId w:val="9"/>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3CE9FE63">
      <w:pPr>
        <w:pStyle w:val="51"/>
        <w:numPr>
          <w:ilvl w:val="1"/>
          <w:numId w:val="8"/>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3D97F6D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22BD839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F25E7EA">
      <w:pPr>
        <w:pStyle w:val="51"/>
        <w:numPr>
          <w:ilvl w:val="1"/>
          <w:numId w:val="8"/>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47A6ECD9">
      <w:pPr>
        <w:pStyle w:val="52"/>
        <w:numPr>
          <w:ilvl w:val="2"/>
          <w:numId w:val="9"/>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48DD2BFD">
      <w:pPr>
        <w:pStyle w:val="52"/>
        <w:numPr>
          <w:ilvl w:val="2"/>
          <w:numId w:val="9"/>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4BB8F660">
      <w:pPr>
        <w:pStyle w:val="52"/>
        <w:numPr>
          <w:ilvl w:val="2"/>
          <w:numId w:val="9"/>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0CCFD1FA">
      <w:pPr>
        <w:pStyle w:val="52"/>
        <w:numPr>
          <w:ilvl w:val="2"/>
          <w:numId w:val="9"/>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1C7B5528">
      <w:pPr>
        <w:pStyle w:val="51"/>
        <w:numPr>
          <w:ilvl w:val="1"/>
          <w:numId w:val="8"/>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2"/>
    <w:p w14:paraId="52B8F07B">
      <w:pPr>
        <w:pStyle w:val="51"/>
        <w:numPr>
          <w:ilvl w:val="1"/>
          <w:numId w:val="8"/>
        </w:numPr>
        <w:spacing w:line="360" w:lineRule="auto"/>
        <w:ind w:left="0" w:firstLine="0"/>
        <w:rPr>
          <w:rFonts w:asciiTheme="minorHAnsi" w:hAnsiTheme="minorHAnsi" w:cstheme="minorHAnsi"/>
        </w:rPr>
      </w:pPr>
      <w:bookmarkStart w:id="53"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21F8069B">
      <w:pPr>
        <w:pStyle w:val="51"/>
        <w:numPr>
          <w:ilvl w:val="1"/>
          <w:numId w:val="8"/>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15BB6CB5">
      <w:pPr>
        <w:pStyle w:val="51"/>
        <w:numPr>
          <w:ilvl w:val="1"/>
          <w:numId w:val="8"/>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2CEDBDF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2EBD533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570C1689">
      <w:pPr>
        <w:pStyle w:val="74"/>
        <w:numPr>
          <w:ilvl w:val="0"/>
          <w:numId w:val="8"/>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3F60581F">
      <w:pPr>
        <w:pStyle w:val="51"/>
        <w:numPr>
          <w:ilvl w:val="1"/>
          <w:numId w:val="8"/>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58F241B2">
      <w:pPr>
        <w:pStyle w:val="51"/>
        <w:numPr>
          <w:ilvl w:val="1"/>
          <w:numId w:val="8"/>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7"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7"/>
    </w:p>
    <w:p w14:paraId="2BB31835">
      <w:pPr>
        <w:pStyle w:val="51"/>
        <w:numPr>
          <w:ilvl w:val="1"/>
          <w:numId w:val="8"/>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8"/>
    </w:p>
    <w:p w14:paraId="6A36A058">
      <w:pPr>
        <w:pStyle w:val="51"/>
        <w:numPr>
          <w:ilvl w:val="1"/>
          <w:numId w:val="8"/>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1C7C6AF5">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7AAFB4C0">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29AC4E27">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7CC5BD02">
      <w:pPr>
        <w:pStyle w:val="51"/>
        <w:numPr>
          <w:ilvl w:val="1"/>
          <w:numId w:val="8"/>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4919633F">
      <w:pPr>
        <w:pStyle w:val="51"/>
        <w:numPr>
          <w:ilvl w:val="1"/>
          <w:numId w:val="8"/>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0E69C0FE">
      <w:pPr>
        <w:pStyle w:val="51"/>
        <w:numPr>
          <w:ilvl w:val="1"/>
          <w:numId w:val="8"/>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64B57D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598A75E3">
      <w:pPr>
        <w:pStyle w:val="74"/>
        <w:numPr>
          <w:ilvl w:val="0"/>
          <w:numId w:val="8"/>
        </w:numPr>
        <w:spacing w:line="360" w:lineRule="auto"/>
        <w:rPr>
          <w:rFonts w:asciiTheme="minorHAnsi" w:hAnsiTheme="minorHAnsi" w:cstheme="minorHAnsi"/>
          <w:sz w:val="22"/>
          <w:szCs w:val="22"/>
          <w:highlight w:val="cyan"/>
        </w:rPr>
      </w:pPr>
      <w:bookmarkStart w:id="59" w:name="_Toc135469203"/>
      <w:bookmarkStart w:id="60" w:name="_Toc193719200"/>
      <w:r>
        <w:rPr>
          <w:rFonts w:asciiTheme="minorHAnsi" w:hAnsiTheme="minorHAnsi" w:cstheme="minorHAnsi"/>
          <w:sz w:val="22"/>
          <w:szCs w:val="22"/>
          <w:highlight w:val="cyan"/>
        </w:rPr>
        <w:t>DA ATA DE REGISTRO DE PREÇOS</w:t>
      </w:r>
      <w:bookmarkEnd w:id="59"/>
      <w:bookmarkEnd w:id="60"/>
    </w:p>
    <w:p w14:paraId="088F9B8E">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0CBF4999">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202DEE32">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05F7A7C6">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2E060BE9">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1577770D">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46C40FE9">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71A0A527">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25CA58">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3B23D1">
      <w:pPr>
        <w:pStyle w:val="51"/>
        <w:numPr>
          <w:ilvl w:val="1"/>
          <w:numId w:val="8"/>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4324D9DF">
      <w:pPr>
        <w:pStyle w:val="52"/>
        <w:numPr>
          <w:ilvl w:val="2"/>
          <w:numId w:val="9"/>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6F4ABDC7">
      <w:pPr>
        <w:pStyle w:val="52"/>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0463D671">
      <w:pPr>
        <w:pStyle w:val="74"/>
        <w:numPr>
          <w:ilvl w:val="0"/>
          <w:numId w:val="8"/>
        </w:numPr>
        <w:spacing w:line="360" w:lineRule="auto"/>
        <w:rPr>
          <w:rFonts w:asciiTheme="minorHAnsi" w:hAnsiTheme="minorHAnsi" w:cstheme="minorHAnsi"/>
          <w:sz w:val="22"/>
          <w:szCs w:val="22"/>
          <w:highlight w:val="cyan"/>
        </w:rPr>
      </w:pPr>
      <w:bookmarkStart w:id="61" w:name="_Toc193719201"/>
      <w:bookmarkStart w:id="62" w:name="_Toc135469204"/>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6F91941D">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3EF677CD">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3F661C58">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4A34229E">
      <w:pPr>
        <w:pStyle w:val="51"/>
        <w:numPr>
          <w:ilvl w:val="1"/>
          <w:numId w:val="8"/>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5EFB5869">
      <w:pPr>
        <w:pStyle w:val="52"/>
        <w:numPr>
          <w:ilvl w:val="2"/>
          <w:numId w:val="9"/>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2527CA51">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77334302">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19BCB9E1">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34852D64">
      <w:pPr>
        <w:pStyle w:val="52"/>
        <w:numPr>
          <w:ilvl w:val="2"/>
          <w:numId w:val="9"/>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5620024E">
      <w:pPr>
        <w:pStyle w:val="51"/>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78AAC91">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49B4237C">
      <w:pPr>
        <w:pStyle w:val="52"/>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4354CC08">
      <w:pPr>
        <w:pStyle w:val="74"/>
        <w:numPr>
          <w:ilvl w:val="0"/>
          <w:numId w:val="8"/>
        </w:numPr>
        <w:spacing w:line="360" w:lineRule="auto"/>
        <w:rPr>
          <w:rFonts w:asciiTheme="minorHAnsi" w:hAnsiTheme="minorHAnsi" w:cstheme="minorHAnsi"/>
          <w:sz w:val="22"/>
          <w:szCs w:val="22"/>
        </w:rPr>
      </w:pPr>
      <w:bookmarkStart w:id="65" w:name="_Toc193719202"/>
      <w:bookmarkStart w:id="66" w:name="_Toc135469205"/>
      <w:r>
        <w:rPr>
          <w:rFonts w:asciiTheme="minorHAnsi" w:hAnsiTheme="minorHAnsi" w:cstheme="minorHAnsi"/>
          <w:sz w:val="22"/>
          <w:szCs w:val="22"/>
        </w:rPr>
        <w:t>DOS RECURSOS</w:t>
      </w:r>
      <w:bookmarkEnd w:id="65"/>
      <w:bookmarkEnd w:id="66"/>
    </w:p>
    <w:p w14:paraId="48EE84F1">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788EDEB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466A32E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03705C0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137E9751">
      <w:pPr>
        <w:pStyle w:val="52"/>
        <w:numPr>
          <w:ilvl w:val="2"/>
          <w:numId w:val="9"/>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0EEFE6DF">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362D4A1C">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5D251BAF">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3533453F">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339B86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7D382A5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5B95D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1F746BC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4C0C785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7B708CF1">
      <w:pPr>
        <w:pStyle w:val="51"/>
        <w:spacing w:line="360" w:lineRule="auto"/>
        <w:rPr>
          <w:rFonts w:asciiTheme="minorHAnsi" w:hAnsiTheme="minorHAnsi" w:cstheme="minorHAnsi"/>
        </w:rPr>
      </w:pPr>
    </w:p>
    <w:p w14:paraId="29B56134">
      <w:pPr>
        <w:pStyle w:val="74"/>
        <w:numPr>
          <w:ilvl w:val="0"/>
          <w:numId w:val="8"/>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12CB4A8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48913658">
      <w:pPr>
        <w:pStyle w:val="52"/>
        <w:numPr>
          <w:ilvl w:val="2"/>
          <w:numId w:val="9"/>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1585D82F">
      <w:pPr>
        <w:pStyle w:val="52"/>
        <w:numPr>
          <w:ilvl w:val="2"/>
          <w:numId w:val="9"/>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4AA3EE23">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1B2C4000">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7932E557">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67CBC8F9">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2FFBB7D0">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75CCFCCD">
      <w:pPr>
        <w:pStyle w:val="52"/>
        <w:numPr>
          <w:ilvl w:val="2"/>
          <w:numId w:val="9"/>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319FB04B">
      <w:pPr>
        <w:pStyle w:val="52"/>
        <w:numPr>
          <w:ilvl w:val="2"/>
          <w:numId w:val="9"/>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2625C6C9">
      <w:pPr>
        <w:pStyle w:val="52"/>
        <w:numPr>
          <w:ilvl w:val="2"/>
          <w:numId w:val="9"/>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1ABB6D22">
      <w:pPr>
        <w:pStyle w:val="52"/>
        <w:numPr>
          <w:ilvl w:val="2"/>
          <w:numId w:val="9"/>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0595F993">
      <w:pPr>
        <w:pStyle w:val="52"/>
        <w:numPr>
          <w:ilvl w:val="2"/>
          <w:numId w:val="9"/>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4DBC7440">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76460DED">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1CDE5EE3">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6743C8DC">
      <w:pPr>
        <w:pStyle w:val="52"/>
        <w:numPr>
          <w:ilvl w:val="2"/>
          <w:numId w:val="9"/>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2832E5C3">
      <w:pPr>
        <w:pStyle w:val="52"/>
        <w:numPr>
          <w:ilvl w:val="2"/>
          <w:numId w:val="9"/>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77DBB84F">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201E2A46">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4B28540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6E19EC64">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00B254F2">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316421D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74FDBFEE">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504C21FB">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26E495DA">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54C8BF3F">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5AB85041">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5CF9F51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60817C4B">
      <w:pPr>
        <w:pStyle w:val="52"/>
        <w:numPr>
          <w:ilvl w:val="2"/>
          <w:numId w:val="9"/>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1"/>
    <w:p w14:paraId="0B77D800">
      <w:pPr>
        <w:pStyle w:val="52"/>
        <w:numPr>
          <w:ilvl w:val="2"/>
          <w:numId w:val="9"/>
        </w:numPr>
        <w:tabs>
          <w:tab w:val="clear" w:pos="360"/>
        </w:tabs>
        <w:spacing w:line="360" w:lineRule="auto"/>
        <w:ind w:left="284" w:firstLine="0"/>
        <w:rPr>
          <w:rFonts w:asciiTheme="minorHAnsi" w:hAnsiTheme="minorHAnsi" w:cstheme="minorHAnsi"/>
        </w:rPr>
      </w:pPr>
      <w:bookmarkStart w:id="82"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69C33B78">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6BBA9DDE">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741DB34F">
      <w:pPr>
        <w:pStyle w:val="51"/>
        <w:numPr>
          <w:ilvl w:val="1"/>
          <w:numId w:val="8"/>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61B9C93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18C95CAE">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4516DE60">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D88EB5F">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D8525A7">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CBF3BC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66C8BEEB">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6841D72C">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7E1CED8F">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51BF2F27">
      <w:pPr>
        <w:pStyle w:val="74"/>
        <w:numPr>
          <w:ilvl w:val="0"/>
          <w:numId w:val="8"/>
        </w:numPr>
        <w:spacing w:line="360" w:lineRule="auto"/>
        <w:rPr>
          <w:rFonts w:asciiTheme="minorHAnsi" w:hAnsiTheme="minorHAnsi" w:cstheme="minorHAnsi"/>
          <w:sz w:val="22"/>
          <w:szCs w:val="22"/>
        </w:rPr>
      </w:pPr>
      <w:bookmarkStart w:id="84" w:name="_Toc135469207"/>
      <w:bookmarkStart w:id="85" w:name="_Toc193719204"/>
      <w:r>
        <w:rPr>
          <w:rFonts w:asciiTheme="minorHAnsi" w:hAnsiTheme="minorHAnsi" w:cstheme="minorHAnsi"/>
          <w:sz w:val="22"/>
          <w:szCs w:val="22"/>
        </w:rPr>
        <w:t>DA IMPUGNAÇÃO AO EDITAL E DO PEDIDO DE ESCLARECIMENTO</w:t>
      </w:r>
      <w:bookmarkEnd w:id="84"/>
      <w:bookmarkEnd w:id="85"/>
    </w:p>
    <w:p w14:paraId="59F3F163">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67975234">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229B822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05772C6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674F0119">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5D04D8C2">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664B368F">
      <w:pPr>
        <w:pStyle w:val="74"/>
        <w:numPr>
          <w:ilvl w:val="0"/>
          <w:numId w:val="8"/>
        </w:numPr>
        <w:spacing w:line="360" w:lineRule="auto"/>
        <w:rPr>
          <w:rFonts w:asciiTheme="minorHAnsi" w:hAnsiTheme="minorHAnsi" w:cstheme="minorHAnsi"/>
          <w:sz w:val="22"/>
          <w:szCs w:val="22"/>
        </w:rPr>
      </w:pPr>
      <w:bookmarkStart w:id="86" w:name="_Toc135469208"/>
      <w:bookmarkStart w:id="87" w:name="_Toc193719205"/>
      <w:r>
        <w:rPr>
          <w:rFonts w:asciiTheme="minorHAnsi" w:hAnsiTheme="minorHAnsi" w:cstheme="minorHAnsi"/>
          <w:sz w:val="22"/>
          <w:szCs w:val="22"/>
        </w:rPr>
        <w:t>DAS DISPOSIÇÕES GERAIS</w:t>
      </w:r>
      <w:bookmarkEnd w:id="86"/>
      <w:bookmarkEnd w:id="87"/>
    </w:p>
    <w:p w14:paraId="15BEFF25">
      <w:pPr>
        <w:pStyle w:val="51"/>
        <w:numPr>
          <w:ilvl w:val="1"/>
          <w:numId w:val="8"/>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4CE9C0C7">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47A7B25D">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2BAF7966">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0FF86E5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B01C55">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012C20F8">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0A352D97">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7F0346D1">
      <w:pPr>
        <w:pStyle w:val="51"/>
        <w:numPr>
          <w:ilvl w:val="1"/>
          <w:numId w:val="8"/>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105CF0D0">
      <w:pPr>
        <w:pStyle w:val="51"/>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2AEC85D3">
      <w:pPr>
        <w:pStyle w:val="51"/>
        <w:numPr>
          <w:ilvl w:val="1"/>
          <w:numId w:val="8"/>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5CE3C7E8">
      <w:pPr>
        <w:pStyle w:val="52"/>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080DAC85">
      <w:pPr>
        <w:pStyle w:val="53"/>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15C4DD1E">
      <w:pPr>
        <w:pStyle w:val="55"/>
        <w:numPr>
          <w:ilvl w:val="2"/>
          <w:numId w:val="9"/>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438B8951">
      <w:pPr>
        <w:pStyle w:val="55"/>
        <w:numPr>
          <w:ilvl w:val="2"/>
          <w:numId w:val="9"/>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242F9982">
      <w:pPr>
        <w:pStyle w:val="55"/>
        <w:numPr>
          <w:ilvl w:val="2"/>
          <w:numId w:val="9"/>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17D6346E">
      <w:pPr>
        <w:pStyle w:val="55"/>
        <w:numPr>
          <w:ilvl w:val="2"/>
          <w:numId w:val="9"/>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5ED79FA7">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07 de abril de 2026</w:t>
      </w:r>
    </w:p>
    <w:p w14:paraId="3C0272E8">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67773A4A">
      <w:pPr>
        <w:spacing w:after="0" w:line="360" w:lineRule="auto"/>
        <w:ind w:right="140"/>
        <w:jc w:val="center"/>
        <w:rPr>
          <w:rFonts w:cstheme="minorHAnsi"/>
          <w:b/>
          <w:u w:val="single"/>
          <w:lang w:eastAsia="ar-SA"/>
        </w:rPr>
      </w:pPr>
      <w:bookmarkStart w:id="89" w:name="_Hlk82471863"/>
    </w:p>
    <w:p w14:paraId="043510CB">
      <w:pPr>
        <w:spacing w:after="0" w:line="360" w:lineRule="auto"/>
        <w:ind w:right="140"/>
        <w:jc w:val="center"/>
        <w:rPr>
          <w:rFonts w:cstheme="minorHAnsi"/>
          <w:b/>
          <w:u w:val="single"/>
          <w:lang w:eastAsia="ar-SA"/>
        </w:rPr>
      </w:pPr>
    </w:p>
    <w:p w14:paraId="7981327F">
      <w:pPr>
        <w:spacing w:after="0" w:line="360" w:lineRule="auto"/>
        <w:ind w:right="140"/>
        <w:jc w:val="center"/>
        <w:rPr>
          <w:rFonts w:cstheme="minorHAnsi"/>
          <w:b/>
          <w:u w:val="single"/>
          <w:lang w:eastAsia="ar-SA"/>
        </w:rPr>
      </w:pPr>
    </w:p>
    <w:p w14:paraId="33D00910">
      <w:pPr>
        <w:spacing w:after="0" w:line="360" w:lineRule="auto"/>
        <w:ind w:right="140"/>
        <w:jc w:val="center"/>
        <w:rPr>
          <w:rFonts w:cstheme="minorHAnsi"/>
          <w:b/>
          <w:u w:val="single"/>
          <w:lang w:eastAsia="ar-SA"/>
        </w:rPr>
      </w:pPr>
    </w:p>
    <w:p w14:paraId="4FA4D9E2">
      <w:pPr>
        <w:spacing w:after="0" w:line="360" w:lineRule="auto"/>
        <w:ind w:right="140"/>
        <w:jc w:val="center"/>
        <w:rPr>
          <w:rFonts w:cstheme="minorHAnsi"/>
          <w:b/>
          <w:u w:val="single"/>
          <w:lang w:eastAsia="ar-SA"/>
        </w:rPr>
      </w:pPr>
    </w:p>
    <w:p w14:paraId="686BE8BA">
      <w:pPr>
        <w:spacing w:after="0" w:line="360" w:lineRule="auto"/>
        <w:ind w:right="140"/>
        <w:jc w:val="center"/>
        <w:rPr>
          <w:rFonts w:cstheme="minorHAnsi"/>
          <w:b/>
          <w:u w:val="single"/>
          <w:lang w:eastAsia="ar-SA"/>
        </w:rPr>
      </w:pPr>
    </w:p>
    <w:p w14:paraId="1A9FEB1B">
      <w:pPr>
        <w:spacing w:after="0" w:line="360" w:lineRule="auto"/>
        <w:ind w:right="140"/>
        <w:jc w:val="center"/>
        <w:rPr>
          <w:rFonts w:cstheme="minorHAnsi"/>
          <w:b/>
          <w:u w:val="single"/>
          <w:lang w:eastAsia="ar-SA"/>
        </w:rPr>
      </w:pPr>
    </w:p>
    <w:p w14:paraId="37009C25">
      <w:pPr>
        <w:spacing w:after="0" w:line="360" w:lineRule="auto"/>
        <w:ind w:right="140"/>
        <w:jc w:val="center"/>
        <w:rPr>
          <w:rFonts w:cstheme="minorHAnsi"/>
          <w:b/>
          <w:u w:val="single"/>
          <w:lang w:eastAsia="ar-SA"/>
        </w:rPr>
      </w:pPr>
    </w:p>
    <w:p w14:paraId="33376F88">
      <w:pPr>
        <w:spacing w:after="0" w:line="360" w:lineRule="auto"/>
        <w:ind w:right="140"/>
        <w:jc w:val="center"/>
        <w:rPr>
          <w:rFonts w:cstheme="minorHAnsi"/>
          <w:b/>
          <w:u w:val="single"/>
          <w:lang w:eastAsia="ar-SA"/>
        </w:rPr>
      </w:pPr>
    </w:p>
    <w:p w14:paraId="373B5CC1">
      <w:pPr>
        <w:spacing w:after="0" w:line="360" w:lineRule="auto"/>
        <w:ind w:right="140"/>
        <w:jc w:val="center"/>
        <w:rPr>
          <w:rFonts w:cstheme="minorHAnsi"/>
          <w:b/>
          <w:u w:val="single"/>
          <w:lang w:eastAsia="ar-SA"/>
        </w:rPr>
      </w:pPr>
    </w:p>
    <w:p w14:paraId="38F648A5">
      <w:pPr>
        <w:spacing w:after="0" w:line="360" w:lineRule="auto"/>
        <w:ind w:right="140"/>
        <w:jc w:val="center"/>
        <w:rPr>
          <w:rFonts w:cstheme="minorHAnsi"/>
          <w:b/>
          <w:u w:val="single"/>
          <w:lang w:eastAsia="ar-SA"/>
        </w:rPr>
      </w:pPr>
    </w:p>
    <w:p w14:paraId="6FF63C8B">
      <w:pPr>
        <w:spacing w:after="0" w:line="360" w:lineRule="auto"/>
        <w:ind w:right="140"/>
        <w:jc w:val="center"/>
        <w:rPr>
          <w:rFonts w:cstheme="minorHAnsi"/>
          <w:b/>
          <w:u w:val="single"/>
          <w:lang w:eastAsia="ar-SA"/>
        </w:rPr>
      </w:pPr>
    </w:p>
    <w:p w14:paraId="0A5D434E">
      <w:pPr>
        <w:spacing w:after="0" w:line="360" w:lineRule="auto"/>
        <w:ind w:right="140"/>
        <w:jc w:val="center"/>
        <w:rPr>
          <w:rFonts w:cstheme="minorHAnsi"/>
          <w:b/>
          <w:u w:val="single"/>
          <w:lang w:eastAsia="ar-SA"/>
        </w:rPr>
      </w:pPr>
    </w:p>
    <w:p w14:paraId="4DC3EA02">
      <w:pPr>
        <w:spacing w:after="0" w:line="360" w:lineRule="auto"/>
        <w:ind w:right="140"/>
        <w:jc w:val="center"/>
        <w:rPr>
          <w:rFonts w:cstheme="minorHAnsi"/>
          <w:b/>
          <w:u w:val="single"/>
          <w:lang w:eastAsia="ar-SA"/>
        </w:rPr>
      </w:pPr>
    </w:p>
    <w:p w14:paraId="6E5EF397">
      <w:pPr>
        <w:spacing w:after="0" w:line="360" w:lineRule="auto"/>
        <w:ind w:right="140"/>
        <w:jc w:val="center"/>
        <w:rPr>
          <w:rFonts w:cstheme="minorHAnsi"/>
          <w:b/>
          <w:u w:val="single"/>
          <w:lang w:eastAsia="ar-SA"/>
        </w:rPr>
      </w:pPr>
    </w:p>
    <w:p w14:paraId="49A7FDF0">
      <w:pPr>
        <w:spacing w:after="0" w:line="360" w:lineRule="auto"/>
        <w:ind w:right="140"/>
        <w:jc w:val="center"/>
        <w:rPr>
          <w:rFonts w:cstheme="minorHAnsi"/>
          <w:b/>
          <w:u w:val="single"/>
          <w:lang w:eastAsia="ar-SA"/>
        </w:rPr>
      </w:pPr>
    </w:p>
    <w:p w14:paraId="2F00BD0F">
      <w:pPr>
        <w:spacing w:after="0" w:line="360" w:lineRule="auto"/>
        <w:ind w:right="140"/>
        <w:jc w:val="center"/>
        <w:rPr>
          <w:rFonts w:cstheme="minorHAnsi"/>
          <w:b/>
          <w:u w:val="single"/>
          <w:lang w:eastAsia="ar-SA"/>
        </w:rPr>
      </w:pPr>
    </w:p>
    <w:p w14:paraId="75F2139D">
      <w:pPr>
        <w:spacing w:after="0" w:line="360" w:lineRule="auto"/>
        <w:ind w:right="140"/>
        <w:jc w:val="center"/>
        <w:rPr>
          <w:rFonts w:cstheme="minorHAnsi"/>
          <w:b/>
          <w:u w:val="single"/>
          <w:lang w:eastAsia="ar-SA"/>
        </w:rPr>
      </w:pPr>
    </w:p>
    <w:p w14:paraId="7CF520F7">
      <w:pPr>
        <w:spacing w:after="0" w:line="360" w:lineRule="auto"/>
        <w:ind w:right="140"/>
        <w:jc w:val="center"/>
        <w:rPr>
          <w:rFonts w:cstheme="minorHAnsi"/>
          <w:b/>
          <w:u w:val="single"/>
          <w:lang w:eastAsia="ar-SA"/>
        </w:rPr>
      </w:pPr>
    </w:p>
    <w:p w14:paraId="1D113C12">
      <w:pPr>
        <w:spacing w:after="0" w:line="360" w:lineRule="auto"/>
        <w:ind w:right="140"/>
        <w:jc w:val="center"/>
        <w:rPr>
          <w:rFonts w:cstheme="minorHAnsi"/>
          <w:b/>
          <w:u w:val="single"/>
          <w:lang w:eastAsia="ar-SA"/>
        </w:rPr>
      </w:pPr>
    </w:p>
    <w:p w14:paraId="3DDE8E02">
      <w:pPr>
        <w:spacing w:after="0" w:line="360" w:lineRule="auto"/>
        <w:ind w:right="140"/>
        <w:jc w:val="center"/>
        <w:rPr>
          <w:rFonts w:cstheme="minorHAnsi"/>
          <w:b/>
          <w:u w:val="single"/>
          <w:lang w:eastAsia="ar-SA"/>
        </w:rPr>
      </w:pPr>
    </w:p>
    <w:p w14:paraId="61112F06">
      <w:pPr>
        <w:spacing w:after="0" w:line="360" w:lineRule="auto"/>
        <w:ind w:right="140"/>
        <w:jc w:val="center"/>
        <w:rPr>
          <w:rFonts w:cstheme="minorHAnsi"/>
          <w:b/>
          <w:u w:val="single"/>
          <w:lang w:eastAsia="ar-SA"/>
        </w:rPr>
      </w:pPr>
    </w:p>
    <w:p w14:paraId="16C1F87E">
      <w:pPr>
        <w:spacing w:after="0" w:line="360" w:lineRule="auto"/>
        <w:ind w:right="140"/>
        <w:jc w:val="center"/>
        <w:rPr>
          <w:rFonts w:cstheme="minorHAnsi"/>
          <w:b/>
          <w:u w:val="single"/>
          <w:lang w:eastAsia="ar-SA"/>
        </w:rPr>
      </w:pPr>
    </w:p>
    <w:p w14:paraId="581F17C1">
      <w:pPr>
        <w:spacing w:after="0" w:line="360" w:lineRule="auto"/>
        <w:ind w:right="140"/>
        <w:jc w:val="center"/>
        <w:rPr>
          <w:rFonts w:cstheme="minorHAnsi"/>
          <w:b/>
          <w:u w:val="single"/>
          <w:lang w:eastAsia="ar-SA"/>
        </w:rPr>
      </w:pPr>
    </w:p>
    <w:p w14:paraId="3A0C8F90">
      <w:pPr>
        <w:spacing w:after="0" w:line="360" w:lineRule="auto"/>
        <w:ind w:right="140"/>
        <w:jc w:val="center"/>
        <w:rPr>
          <w:rFonts w:cstheme="minorHAnsi"/>
          <w:b/>
          <w:u w:val="single"/>
          <w:lang w:eastAsia="ar-SA"/>
        </w:rPr>
      </w:pPr>
    </w:p>
    <w:p w14:paraId="29010AF2">
      <w:pPr>
        <w:spacing w:after="0" w:line="360" w:lineRule="auto"/>
        <w:ind w:right="140"/>
        <w:jc w:val="center"/>
        <w:rPr>
          <w:rFonts w:cstheme="minorHAnsi"/>
          <w:b/>
          <w:u w:val="single"/>
          <w:lang w:eastAsia="ar-SA"/>
        </w:rPr>
      </w:pPr>
    </w:p>
    <w:p w14:paraId="2EA7E0C9">
      <w:pPr>
        <w:spacing w:after="0" w:line="360" w:lineRule="auto"/>
        <w:ind w:right="140"/>
        <w:jc w:val="center"/>
        <w:rPr>
          <w:rFonts w:cstheme="minorHAnsi"/>
          <w:b/>
          <w:u w:val="single"/>
          <w:lang w:eastAsia="ar-SA"/>
        </w:rPr>
      </w:pPr>
    </w:p>
    <w:p w14:paraId="6A03E626">
      <w:pPr>
        <w:spacing w:after="0" w:line="360" w:lineRule="auto"/>
        <w:ind w:right="140"/>
        <w:jc w:val="center"/>
        <w:rPr>
          <w:rFonts w:cstheme="minorHAnsi"/>
          <w:b/>
          <w:u w:val="single"/>
          <w:lang w:eastAsia="ar-SA"/>
        </w:rPr>
      </w:pPr>
    </w:p>
    <w:p w14:paraId="0345A4C5">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5EFFF066">
      <w:pPr>
        <w:spacing w:before="120" w:after="120" w:line="240" w:lineRule="auto"/>
        <w:ind w:right="-1"/>
        <w:contextualSpacing/>
        <w:jc w:val="center"/>
        <w:rPr>
          <w:rFonts w:cstheme="minorHAnsi"/>
          <w:b/>
          <w:lang w:eastAsia="ar-SA"/>
        </w:rPr>
      </w:pPr>
      <w:r>
        <w:rPr>
          <w:rFonts w:cstheme="minorHAnsi"/>
          <w:b/>
          <w:lang w:eastAsia="ar-SA"/>
        </w:rPr>
        <w:t>TERMO DE REFERÊNCIA</w:t>
      </w:r>
    </w:p>
    <w:p w14:paraId="2DC2571D">
      <w:pPr>
        <w:spacing w:before="120" w:after="120" w:line="240" w:lineRule="auto"/>
        <w:ind w:right="-1"/>
        <w:contextualSpacing/>
        <w:jc w:val="center"/>
        <w:rPr>
          <w:rFonts w:cstheme="minorHAnsi"/>
          <w:b/>
          <w:lang w:eastAsia="ar-SA"/>
        </w:rPr>
      </w:pPr>
      <w:r>
        <w:rPr>
          <w:rFonts w:cstheme="minorHAnsi"/>
          <w:b/>
          <w:lang w:eastAsia="ar-SA"/>
        </w:rPr>
        <w:t>PREGÃO SRP nº 90037/2026</w:t>
      </w:r>
    </w:p>
    <w:p w14:paraId="603CA02F">
      <w:pPr>
        <w:spacing w:before="120" w:after="120" w:line="240" w:lineRule="auto"/>
        <w:ind w:right="-1"/>
        <w:contextualSpacing/>
        <w:jc w:val="center"/>
        <w:rPr>
          <w:rFonts w:cstheme="minorHAnsi"/>
          <w:b/>
        </w:rPr>
      </w:pPr>
      <w:r>
        <w:rPr>
          <w:rFonts w:cstheme="minorHAnsi"/>
          <w:b/>
        </w:rPr>
        <w:t xml:space="preserve">PARTICIPAÇÃO EM AMPLA CONCORRÊNCIA </w:t>
      </w:r>
    </w:p>
    <w:p w14:paraId="52535D98">
      <w:pPr>
        <w:spacing w:before="120" w:after="120" w:line="240" w:lineRule="auto"/>
        <w:ind w:right="-1"/>
        <w:contextualSpacing/>
        <w:jc w:val="center"/>
        <w:rPr>
          <w:rFonts w:cstheme="minorHAnsi"/>
          <w:b/>
          <w:lang w:eastAsia="ar-SA"/>
        </w:rPr>
      </w:pPr>
      <w:r>
        <w:rPr>
          <w:rFonts w:cstheme="minorHAnsi"/>
          <w:b/>
        </w:rPr>
        <w:t>SEM EXCLUSIVIDADE PARA ME/EPP</w:t>
      </w:r>
    </w:p>
    <w:p w14:paraId="2E0C8596">
      <w:pPr>
        <w:spacing w:before="120" w:after="120" w:line="240" w:lineRule="auto"/>
        <w:ind w:right="-1"/>
        <w:contextualSpacing/>
        <w:jc w:val="center"/>
        <w:rPr>
          <w:rFonts w:cstheme="minorHAnsi"/>
          <w:b/>
          <w:lang w:eastAsia="ar-SA"/>
        </w:rPr>
      </w:pPr>
    </w:p>
    <w:p w14:paraId="78F3D68A">
      <w:pPr>
        <w:pStyle w:val="74"/>
        <w:spacing w:line="240" w:lineRule="auto"/>
        <w:ind w:right="-1"/>
        <w:contextualSpacing/>
        <w:rPr>
          <w:rFonts w:asciiTheme="minorHAnsi" w:hAnsiTheme="minorHAnsi" w:cstheme="minorHAnsi"/>
          <w:color w:val="0070C0"/>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color w:val="0070C0"/>
          <w:sz w:val="22"/>
          <w:szCs w:val="22"/>
          <w:shd w:val="clear" w:color="auto" w:fill="FFFFFF"/>
        </w:rPr>
        <w:t>23066.014123/2026-14</w:t>
      </w:r>
    </w:p>
    <w:p w14:paraId="02A9A197">
      <w:pPr>
        <w:spacing w:before="120" w:after="120" w:line="240" w:lineRule="auto"/>
        <w:ind w:right="-1"/>
        <w:contextualSpacing/>
        <w:rPr>
          <w:rFonts w:cstheme="minorHAnsi"/>
          <w:lang w:eastAsia="pt-BR"/>
        </w:rPr>
      </w:pPr>
    </w:p>
    <w:p w14:paraId="2378DCD1">
      <w:pPr>
        <w:pStyle w:val="87"/>
        <w:numPr>
          <w:ilvl w:val="0"/>
          <w:numId w:val="8"/>
        </w:numPr>
        <w:tabs>
          <w:tab w:val="left" w:pos="284"/>
        </w:tabs>
        <w:spacing w:before="120" w:after="120" w:line="240" w:lineRule="auto"/>
        <w:ind w:left="0" w:right="-1" w:firstLine="0"/>
        <w:contextualSpacing/>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4EFD382A">
      <w:pPr>
        <w:pStyle w:val="65"/>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sz w:val="22"/>
          <w:szCs w:val="22"/>
        </w:rPr>
        <w:t>Aquisição de</w:t>
      </w:r>
      <w:r>
        <w:rPr>
          <w:rFonts w:asciiTheme="minorHAnsi" w:hAnsiTheme="minorHAnsi" w:cstheme="minorHAnsi"/>
          <w:bCs/>
          <w:color w:val="0070C0"/>
          <w:sz w:val="22"/>
          <w:szCs w:val="22"/>
        </w:rPr>
        <w:t xml:space="preserve"> MATERIAL MÉDICO HOSPITALAR:</w:t>
      </w:r>
      <w:r>
        <w:rPr>
          <w:rFonts w:asciiTheme="minorHAnsi" w:hAnsiTheme="minorHAnsi" w:cstheme="minorHAnsi"/>
          <w:b/>
          <w:color w:val="FF0000"/>
          <w:sz w:val="22"/>
          <w:szCs w:val="22"/>
        </w:rPr>
        <w:t xml:space="preserve"> </w:t>
      </w:r>
      <w:r>
        <w:rPr>
          <w:rFonts w:asciiTheme="minorHAnsi" w:hAnsiTheme="minorHAnsi" w:cstheme="minorHAnsi"/>
          <w:bCs/>
          <w:color w:val="0070C0"/>
          <w:sz w:val="22"/>
          <w:szCs w:val="22"/>
        </w:rPr>
        <w:t xml:space="preserve">FIOS DE SUTURA, através de registro de preços, visando atender as necessidades do Hospital Ana Nery, unidade integrante do Complexo Hospitalar e de Saúde/UFBA, pelo período de 12 (doze) meses, </w:t>
      </w:r>
      <w:r>
        <w:rPr>
          <w:rFonts w:asciiTheme="minorHAnsi" w:hAnsiTheme="minorHAnsi" w:cstheme="minorHAnsi"/>
          <w:bCs/>
          <w:sz w:val="22"/>
          <w:szCs w:val="22"/>
        </w:rPr>
        <w:t xml:space="preserve">conforme condições, exigências e estimativas </w:t>
      </w:r>
      <w:r>
        <w:rPr>
          <w:rFonts w:asciiTheme="minorHAnsi" w:hAnsiTheme="minorHAnsi" w:cstheme="minorHAnsi"/>
          <w:bCs/>
          <w:color w:val="EE0000"/>
          <w:sz w:val="22"/>
          <w:szCs w:val="22"/>
        </w:rPr>
        <w:t>estabelecidas neste instrumento e tabela abaixo:</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66"/>
        <w:gridCol w:w="846"/>
        <w:gridCol w:w="3122"/>
        <w:gridCol w:w="947"/>
        <w:gridCol w:w="1152"/>
        <w:gridCol w:w="1310"/>
        <w:gridCol w:w="1372"/>
      </w:tblGrid>
      <w:tr w14:paraId="092F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0" w:hRule="atLeast"/>
        </w:trPr>
        <w:tc>
          <w:tcPr>
            <w:tcW w:w="253" w:type="pct"/>
            <w:shd w:val="clear" w:color="auto" w:fill="A5A5A5" w:themeFill="background1" w:themeFillShade="A6"/>
            <w:noWrap/>
            <w:textDirection w:val="btLr"/>
            <w:vAlign w:val="center"/>
          </w:tcPr>
          <w:p w14:paraId="3EF4AC2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ITEM</w:t>
            </w:r>
          </w:p>
        </w:tc>
        <w:tc>
          <w:tcPr>
            <w:tcW w:w="459" w:type="pct"/>
            <w:shd w:val="clear" w:color="auto" w:fill="A5A5A5" w:themeFill="background1" w:themeFillShade="A6"/>
            <w:vAlign w:val="center"/>
          </w:tcPr>
          <w:p w14:paraId="23AA2BB3">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CÓDIGO                             CATMAT</w:t>
            </w:r>
          </w:p>
        </w:tc>
        <w:tc>
          <w:tcPr>
            <w:tcW w:w="1694" w:type="pct"/>
            <w:shd w:val="clear" w:color="auto" w:fill="A5A5A5" w:themeFill="background1" w:themeFillShade="A6"/>
            <w:vAlign w:val="center"/>
          </w:tcPr>
          <w:p w14:paraId="589ED2E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ESPECIFICAÇÃO </w:t>
            </w:r>
          </w:p>
        </w:tc>
        <w:tc>
          <w:tcPr>
            <w:tcW w:w="514" w:type="pct"/>
            <w:shd w:val="clear" w:color="auto" w:fill="A5A5A5" w:themeFill="background1" w:themeFillShade="A6"/>
            <w:vAlign w:val="center"/>
          </w:tcPr>
          <w:p w14:paraId="5AFA8BD4">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U.F</w:t>
            </w:r>
          </w:p>
        </w:tc>
        <w:tc>
          <w:tcPr>
            <w:tcW w:w="625" w:type="pct"/>
            <w:shd w:val="clear" w:color="auto" w:fill="A5A5A5" w:themeFill="background1" w:themeFillShade="A6"/>
            <w:vAlign w:val="center"/>
          </w:tcPr>
          <w:p w14:paraId="28143DA8">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QUANTIDADE ANUAL</w:t>
            </w:r>
          </w:p>
        </w:tc>
        <w:tc>
          <w:tcPr>
            <w:tcW w:w="711" w:type="pct"/>
            <w:shd w:val="clear" w:color="auto" w:fill="A5A5A5" w:themeFill="background1" w:themeFillShade="A6"/>
            <w:vAlign w:val="center"/>
          </w:tcPr>
          <w:p w14:paraId="1496C441">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VALOR MÉDIO UNITÁRIO ESTIMADO </w:t>
            </w:r>
          </w:p>
        </w:tc>
        <w:tc>
          <w:tcPr>
            <w:tcW w:w="743" w:type="pct"/>
            <w:shd w:val="clear" w:color="auto" w:fill="A5A5A5" w:themeFill="background1" w:themeFillShade="A6"/>
            <w:vAlign w:val="center"/>
          </w:tcPr>
          <w:p w14:paraId="08706AD1">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VALOR TOTAL ANUAL ESTIMADO</w:t>
            </w:r>
          </w:p>
        </w:tc>
      </w:tr>
      <w:tr w14:paraId="6183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5000" w:type="pct"/>
            <w:gridSpan w:val="7"/>
            <w:shd w:val="clear" w:color="auto" w:fill="D8D8D8" w:themeFill="background1" w:themeFillShade="D9"/>
            <w:noWrap/>
            <w:vAlign w:val="center"/>
          </w:tcPr>
          <w:p w14:paraId="580B206E">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ITENS DO PROCESSO</w:t>
            </w:r>
          </w:p>
        </w:tc>
      </w:tr>
      <w:tr w14:paraId="5CEF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99" w:hRule="atLeast"/>
        </w:trPr>
        <w:tc>
          <w:tcPr>
            <w:tcW w:w="253" w:type="pct"/>
            <w:shd w:val="clear" w:color="FFFFCC" w:fill="FFFFFF"/>
            <w:vAlign w:val="center"/>
          </w:tcPr>
          <w:p w14:paraId="0BDC784E">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w:t>
            </w:r>
          </w:p>
        </w:tc>
        <w:tc>
          <w:tcPr>
            <w:tcW w:w="459" w:type="pct"/>
            <w:shd w:val="clear" w:color="FFFFCC" w:fill="FFFFFF"/>
            <w:vAlign w:val="center"/>
          </w:tcPr>
          <w:p w14:paraId="32E18443">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600135</w:t>
            </w:r>
          </w:p>
        </w:tc>
        <w:tc>
          <w:tcPr>
            <w:tcW w:w="1694" w:type="pct"/>
            <w:shd w:val="clear" w:color="FFFFCC" w:fill="FFFFFF"/>
            <w:vAlign w:val="center"/>
          </w:tcPr>
          <w:p w14:paraId="33FAA06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S/ AGULHA MATERIAL: SEDA PRETO, MODELO: MULTIFILAMENTAR , COMPRIMENTO: 15 X CERCA DE 45 CM, DIÂMETRO: 0 / 1-0 , APRESENTAÇÃO: EMBALAGEM INDIVIDUAL , ESTERILIDADE: ESTÉRIL.FIO SEDA 0, 15X45CM S/AG</w:t>
            </w:r>
          </w:p>
        </w:tc>
        <w:tc>
          <w:tcPr>
            <w:tcW w:w="514" w:type="pct"/>
            <w:shd w:val="clear" w:color="FFFFFF" w:fill="FFFFFF"/>
            <w:vAlign w:val="center"/>
          </w:tcPr>
          <w:p w14:paraId="4A7DD7D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noWrap/>
            <w:vAlign w:val="center"/>
          </w:tcPr>
          <w:p w14:paraId="36AB180D">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3.000</w:t>
            </w:r>
          </w:p>
        </w:tc>
        <w:tc>
          <w:tcPr>
            <w:tcW w:w="711" w:type="pct"/>
            <w:shd w:val="clear" w:color="000000" w:fill="FFFFFF"/>
            <w:noWrap/>
            <w:vAlign w:val="center"/>
          </w:tcPr>
          <w:p w14:paraId="3203E4D4">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19,37 </w:t>
            </w:r>
          </w:p>
        </w:tc>
        <w:tc>
          <w:tcPr>
            <w:tcW w:w="743" w:type="pct"/>
            <w:shd w:val="clear" w:color="000000" w:fill="FFFFFF"/>
            <w:noWrap/>
            <w:vAlign w:val="center"/>
          </w:tcPr>
          <w:p w14:paraId="3E6B6BF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58.110,00 </w:t>
            </w:r>
          </w:p>
        </w:tc>
      </w:tr>
      <w:tr w14:paraId="2438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7" w:hRule="atLeast"/>
        </w:trPr>
        <w:tc>
          <w:tcPr>
            <w:tcW w:w="253" w:type="pct"/>
            <w:shd w:val="clear" w:color="FFFFCC" w:fill="FFFFFF"/>
            <w:vAlign w:val="center"/>
          </w:tcPr>
          <w:p w14:paraId="28EFBF56">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w:t>
            </w:r>
          </w:p>
        </w:tc>
        <w:tc>
          <w:tcPr>
            <w:tcW w:w="459" w:type="pct"/>
            <w:shd w:val="clear" w:color="FFFFCC" w:fill="FFFFFF"/>
            <w:vAlign w:val="center"/>
          </w:tcPr>
          <w:p w14:paraId="512C29C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600131</w:t>
            </w:r>
          </w:p>
        </w:tc>
        <w:tc>
          <w:tcPr>
            <w:tcW w:w="1694" w:type="pct"/>
            <w:shd w:val="clear" w:color="FFFFCC" w:fill="FFFFFF"/>
            <w:vAlign w:val="center"/>
          </w:tcPr>
          <w:p w14:paraId="2315CDE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MATERIAL: SEDA PRETO, MODELO: MULTIFILAMENTAR, COMPRIMENTO: 15 X CERCA DE 45 CM, DIÂMETRO: 3-0, APRESENTAÇÃO: EMBALAGEM INDIVIDUAL, ESTERILIDADE: ESTÉRIL.FIO SEDA 3-0 PRETO 15X45CM S/AG.</w:t>
            </w:r>
          </w:p>
        </w:tc>
        <w:tc>
          <w:tcPr>
            <w:tcW w:w="514" w:type="pct"/>
            <w:shd w:val="clear" w:color="FFFFFF" w:fill="FFFFFF"/>
            <w:vAlign w:val="center"/>
          </w:tcPr>
          <w:p w14:paraId="5E36D05D">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vAlign w:val="center"/>
          </w:tcPr>
          <w:p w14:paraId="4F07355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3.000</w:t>
            </w:r>
          </w:p>
        </w:tc>
        <w:tc>
          <w:tcPr>
            <w:tcW w:w="711" w:type="pct"/>
            <w:shd w:val="clear" w:color="000000" w:fill="FFFFFF"/>
            <w:noWrap/>
            <w:vAlign w:val="center"/>
          </w:tcPr>
          <w:p w14:paraId="6043052F">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15,77 </w:t>
            </w:r>
          </w:p>
        </w:tc>
        <w:tc>
          <w:tcPr>
            <w:tcW w:w="743" w:type="pct"/>
            <w:shd w:val="clear" w:color="000000" w:fill="FFFFFF"/>
            <w:noWrap/>
            <w:vAlign w:val="center"/>
          </w:tcPr>
          <w:p w14:paraId="33E0EB5E">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47.310,00 </w:t>
            </w:r>
          </w:p>
        </w:tc>
      </w:tr>
      <w:tr w14:paraId="18FB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8" w:hRule="atLeast"/>
        </w:trPr>
        <w:tc>
          <w:tcPr>
            <w:tcW w:w="253" w:type="pct"/>
            <w:shd w:val="clear" w:color="FFFFCC" w:fill="FFFFFF"/>
            <w:vAlign w:val="center"/>
          </w:tcPr>
          <w:p w14:paraId="15D6DF2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w:t>
            </w:r>
          </w:p>
        </w:tc>
        <w:tc>
          <w:tcPr>
            <w:tcW w:w="459" w:type="pct"/>
            <w:shd w:val="clear" w:color="FFFFCC" w:fill="FFFFFF"/>
            <w:vAlign w:val="center"/>
          </w:tcPr>
          <w:p w14:paraId="5A430BC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600138</w:t>
            </w:r>
          </w:p>
        </w:tc>
        <w:tc>
          <w:tcPr>
            <w:tcW w:w="1694" w:type="pct"/>
            <w:shd w:val="clear" w:color="FFFFCC" w:fill="FFFFFF"/>
            <w:vAlign w:val="center"/>
          </w:tcPr>
          <w:p w14:paraId="1686E9E4">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MATERIAL: POLIÉSTER C/ ALGODÃO AZUL, MODELO: MULTIFILAMENTAR, COMPRIMENTO: 15 X CERCA DE 45 CM, DIÂMETRO: 4-0, APRESENTAÇÃO: EMBALAGEM INDIVIDUAL, ESTERILIDADE: ESTÉRIL,FIO ALGODAO 4-0 45CM S/AG.</w:t>
            </w:r>
          </w:p>
        </w:tc>
        <w:tc>
          <w:tcPr>
            <w:tcW w:w="514" w:type="pct"/>
            <w:shd w:val="clear" w:color="FFFFFF" w:fill="FFFFFF"/>
            <w:vAlign w:val="center"/>
          </w:tcPr>
          <w:p w14:paraId="1EB6C107">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vAlign w:val="center"/>
          </w:tcPr>
          <w:p w14:paraId="18FF65BB">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1600</w:t>
            </w:r>
          </w:p>
        </w:tc>
        <w:tc>
          <w:tcPr>
            <w:tcW w:w="711" w:type="pct"/>
            <w:shd w:val="clear" w:color="000000" w:fill="FFFFFF"/>
            <w:noWrap/>
            <w:vAlign w:val="center"/>
          </w:tcPr>
          <w:p w14:paraId="3B9BDCCC">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7,76 </w:t>
            </w:r>
          </w:p>
        </w:tc>
        <w:tc>
          <w:tcPr>
            <w:tcW w:w="743" w:type="pct"/>
            <w:shd w:val="clear" w:color="000000" w:fill="FFFFFF"/>
            <w:noWrap/>
            <w:vAlign w:val="center"/>
          </w:tcPr>
          <w:p w14:paraId="33297C8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12.416,00 </w:t>
            </w:r>
          </w:p>
        </w:tc>
      </w:tr>
      <w:tr w14:paraId="584F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85" w:hRule="atLeast"/>
        </w:trPr>
        <w:tc>
          <w:tcPr>
            <w:tcW w:w="253" w:type="pct"/>
            <w:shd w:val="clear" w:color="FFFFCC" w:fill="FFFFFF"/>
            <w:vAlign w:val="center"/>
          </w:tcPr>
          <w:p w14:paraId="07F3EDB4">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w:t>
            </w:r>
          </w:p>
        </w:tc>
        <w:tc>
          <w:tcPr>
            <w:tcW w:w="459" w:type="pct"/>
            <w:shd w:val="clear" w:color="FFFFCC" w:fill="FFFFFF"/>
            <w:vAlign w:val="center"/>
          </w:tcPr>
          <w:p w14:paraId="72B4A45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600129</w:t>
            </w:r>
          </w:p>
        </w:tc>
        <w:tc>
          <w:tcPr>
            <w:tcW w:w="1694" w:type="pct"/>
            <w:shd w:val="clear" w:color="FFFFCC" w:fill="FFFFFF"/>
            <w:vAlign w:val="center"/>
          </w:tcPr>
          <w:p w14:paraId="04AE688A">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S/ AGULHA</w:t>
            </w:r>
            <w:r>
              <w:rPr>
                <w:rFonts w:eastAsia="Times New Roman" w:cstheme="minorHAnsi"/>
                <w:color w:val="FF0000"/>
                <w:sz w:val="16"/>
                <w:szCs w:val="16"/>
                <w:lang w:eastAsia="pt-BR"/>
              </w:rPr>
              <w:br w:type="textWrapping"/>
            </w:r>
            <w:r>
              <w:rPr>
                <w:rFonts w:eastAsia="Times New Roman" w:cstheme="minorHAnsi"/>
                <w:color w:val="FF0000"/>
                <w:sz w:val="16"/>
                <w:szCs w:val="16"/>
                <w:lang w:eastAsia="pt-BR"/>
              </w:rPr>
              <w:t>MATERIAL: SEDA PRETOMODELO: MULTIFILAMENTARDIÂMETRO: 4-0COMPRIMENTO: 15 X CERCA DE 45 CMESTERILIDADE: ESTÉRILAPRESENTAÇÃO: EMBALAGEM INDIVIDUAL.</w:t>
            </w:r>
          </w:p>
        </w:tc>
        <w:tc>
          <w:tcPr>
            <w:tcW w:w="514" w:type="pct"/>
            <w:shd w:val="clear" w:color="FFFFFF" w:fill="FFFFFF"/>
            <w:vAlign w:val="center"/>
          </w:tcPr>
          <w:p w14:paraId="778A228F">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noWrap/>
            <w:vAlign w:val="center"/>
          </w:tcPr>
          <w:p w14:paraId="303619D9">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1600</w:t>
            </w:r>
          </w:p>
        </w:tc>
        <w:tc>
          <w:tcPr>
            <w:tcW w:w="711" w:type="pct"/>
            <w:shd w:val="clear" w:color="000000" w:fill="FFFFFF"/>
            <w:noWrap/>
            <w:vAlign w:val="center"/>
          </w:tcPr>
          <w:p w14:paraId="5E8302D1">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14,95 </w:t>
            </w:r>
          </w:p>
        </w:tc>
        <w:tc>
          <w:tcPr>
            <w:tcW w:w="743" w:type="pct"/>
            <w:shd w:val="clear" w:color="000000" w:fill="FFFFFF"/>
            <w:noWrap/>
            <w:vAlign w:val="center"/>
          </w:tcPr>
          <w:p w14:paraId="4B40397B">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23.920,00 </w:t>
            </w:r>
          </w:p>
        </w:tc>
      </w:tr>
      <w:tr w14:paraId="308F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18" w:hRule="atLeast"/>
        </w:trPr>
        <w:tc>
          <w:tcPr>
            <w:tcW w:w="253" w:type="pct"/>
            <w:shd w:val="clear" w:color="FFFFCC" w:fill="FFFFFF"/>
            <w:vAlign w:val="center"/>
          </w:tcPr>
          <w:p w14:paraId="3C63DF9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w:t>
            </w:r>
          </w:p>
        </w:tc>
        <w:tc>
          <w:tcPr>
            <w:tcW w:w="459" w:type="pct"/>
            <w:shd w:val="clear" w:color="FFFFCC" w:fill="FFFFFF"/>
            <w:vAlign w:val="center"/>
          </w:tcPr>
          <w:p w14:paraId="01DAD22F">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487532</w:t>
            </w:r>
          </w:p>
        </w:tc>
        <w:tc>
          <w:tcPr>
            <w:tcW w:w="1694" w:type="pct"/>
            <w:shd w:val="clear" w:color="FFFFCC" w:fill="FFFFFF"/>
            <w:vAlign w:val="center"/>
          </w:tcPr>
          <w:p w14:paraId="2A5567C5">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MATERIAL POLIPROPILENO MONOFILAMENTO, TIPO FIO 0, COR AZUL, COMPRIMENTO 75 CM, CARACTERÍSTICAS ADICIONAIS COM AGULHA, TIPO AGULHA 1/2 CÍRCULO CILÍNDRICA, COMPRIMENTO AGULHA 2,5 CM, ESTERILIDADE ESTÉRIL.FIO POLIPROPILENO 0 75CM 1AG 1/2 26MM.</w:t>
            </w:r>
          </w:p>
        </w:tc>
        <w:tc>
          <w:tcPr>
            <w:tcW w:w="514" w:type="pct"/>
            <w:shd w:val="clear" w:color="FFFFFF" w:fill="FFFFFF"/>
            <w:vAlign w:val="center"/>
          </w:tcPr>
          <w:p w14:paraId="7E3AB05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vAlign w:val="center"/>
          </w:tcPr>
          <w:p w14:paraId="3E059AF5">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800</w:t>
            </w:r>
          </w:p>
        </w:tc>
        <w:tc>
          <w:tcPr>
            <w:tcW w:w="711" w:type="pct"/>
            <w:shd w:val="clear" w:color="000000" w:fill="FFFFFF"/>
            <w:noWrap/>
            <w:vAlign w:val="center"/>
          </w:tcPr>
          <w:p w14:paraId="724DB63E">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8,20 </w:t>
            </w:r>
          </w:p>
        </w:tc>
        <w:tc>
          <w:tcPr>
            <w:tcW w:w="743" w:type="pct"/>
            <w:shd w:val="clear" w:color="000000" w:fill="FFFFFF"/>
            <w:noWrap/>
            <w:vAlign w:val="center"/>
          </w:tcPr>
          <w:p w14:paraId="23DBAE5B">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6.560,00 </w:t>
            </w:r>
          </w:p>
        </w:tc>
      </w:tr>
      <w:tr w14:paraId="1A481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92" w:hRule="atLeast"/>
        </w:trPr>
        <w:tc>
          <w:tcPr>
            <w:tcW w:w="253" w:type="pct"/>
            <w:shd w:val="clear" w:color="FFFFCC" w:fill="FFFFFF"/>
            <w:vAlign w:val="center"/>
          </w:tcPr>
          <w:p w14:paraId="3758A437">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w:t>
            </w:r>
          </w:p>
        </w:tc>
        <w:tc>
          <w:tcPr>
            <w:tcW w:w="459" w:type="pct"/>
            <w:shd w:val="clear" w:color="FFFFCC" w:fill="FFFFFF"/>
            <w:vAlign w:val="center"/>
          </w:tcPr>
          <w:p w14:paraId="056784D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487517</w:t>
            </w:r>
          </w:p>
        </w:tc>
        <w:tc>
          <w:tcPr>
            <w:tcW w:w="1694" w:type="pct"/>
            <w:shd w:val="clear" w:color="FFFFCC" w:fill="FFFFFF"/>
            <w:vAlign w:val="center"/>
          </w:tcPr>
          <w:p w14:paraId="4456AB06">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MATERIAL POLIPROPILENO MONOFILAMENTO, TIPO FIO 3-0, COR AZUL, COMPRIMENTO 75 CM, CARACTERÍSTICAS ADICIONAIS C/1 AGULHA EM CADA PONTA DO FIO, TIPO AGULHA 1/2 CÍRCULO CILÍNDRICA, COMPRIMENTO AGULHA 2,0 CM, ESTERILIDADE ESTÉRIL.FIO POLIPROPILENO 3-0 75CM 2AG 1/2 20MM, VARIAÇÃO+/-2MM.</w:t>
            </w:r>
          </w:p>
        </w:tc>
        <w:tc>
          <w:tcPr>
            <w:tcW w:w="514" w:type="pct"/>
            <w:shd w:val="clear" w:color="FFFFFF" w:fill="FFFFFF"/>
            <w:vAlign w:val="center"/>
          </w:tcPr>
          <w:p w14:paraId="3DE532DF">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ENVELOPE</w:t>
            </w:r>
          </w:p>
        </w:tc>
        <w:tc>
          <w:tcPr>
            <w:tcW w:w="625" w:type="pct"/>
            <w:shd w:val="clear" w:color="FFFFCC" w:fill="FFFFFF"/>
            <w:vAlign w:val="center"/>
          </w:tcPr>
          <w:p w14:paraId="748B664E">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2.016</w:t>
            </w:r>
          </w:p>
        </w:tc>
        <w:tc>
          <w:tcPr>
            <w:tcW w:w="711" w:type="pct"/>
            <w:shd w:val="clear" w:color="000000" w:fill="FFFFFF"/>
            <w:noWrap/>
            <w:vAlign w:val="center"/>
          </w:tcPr>
          <w:p w14:paraId="05E8BC04">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14,35 </w:t>
            </w:r>
          </w:p>
        </w:tc>
        <w:tc>
          <w:tcPr>
            <w:tcW w:w="743" w:type="pct"/>
            <w:shd w:val="clear" w:color="000000" w:fill="FFFFFF"/>
            <w:noWrap/>
            <w:vAlign w:val="center"/>
          </w:tcPr>
          <w:p w14:paraId="7283EAAD">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28.929,60 </w:t>
            </w:r>
          </w:p>
        </w:tc>
      </w:tr>
      <w:tr w14:paraId="54B6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65" w:hRule="atLeast"/>
        </w:trPr>
        <w:tc>
          <w:tcPr>
            <w:tcW w:w="253" w:type="pct"/>
            <w:shd w:val="clear" w:color="FFFFCC" w:fill="FFFFFF"/>
            <w:vAlign w:val="center"/>
          </w:tcPr>
          <w:p w14:paraId="696CD7BD">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7</w:t>
            </w:r>
          </w:p>
        </w:tc>
        <w:tc>
          <w:tcPr>
            <w:tcW w:w="459" w:type="pct"/>
            <w:shd w:val="clear" w:color="FFFFCC" w:fill="FFFFFF"/>
            <w:vAlign w:val="center"/>
          </w:tcPr>
          <w:p w14:paraId="7DB3B36A">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487173</w:t>
            </w:r>
          </w:p>
        </w:tc>
        <w:tc>
          <w:tcPr>
            <w:tcW w:w="1694" w:type="pct"/>
            <w:shd w:val="clear" w:color="FFFFCC" w:fill="FFFFFF"/>
            <w:vAlign w:val="center"/>
          </w:tcPr>
          <w:p w14:paraId="57435DF3">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AGULHADO, MATERIAL FIO: POLIGLACTINA VIOLETA, MODELO FIO: MULTIFILAMENTAR, COMPONENTE FIO: C/ BACTERIOSTÁTICO / BACTERICIDA, DIÂMETRO FIO: Nº 1, COMPRIMENTO FIO: CERCA DE 70 CM, TIPO AGULHA: AGULHA 1/2 CÍRCULO, MODELO AGULHA: CILÍNDRICA, COMPRIMENTO AGULHA: CERCA DE 40 MM, ESTERILIDADE: ESTÉRIL, APRESENTAÇÃO: EMBALAGEM INDIVIDUAL.</w:t>
            </w:r>
            <w:r>
              <w:rPr>
                <w:rFonts w:eastAsia="Times New Roman" w:cstheme="minorHAnsi"/>
                <w:color w:val="FF0000"/>
                <w:sz w:val="16"/>
                <w:szCs w:val="16"/>
                <w:lang w:eastAsia="pt-BR"/>
              </w:rPr>
              <w:br w:type="textWrapping"/>
            </w:r>
            <w:r>
              <w:rPr>
                <w:rFonts w:eastAsia="Times New Roman" w:cstheme="minorHAnsi"/>
                <w:color w:val="FF0000"/>
                <w:sz w:val="16"/>
                <w:szCs w:val="16"/>
                <w:lang w:eastAsia="pt-BR"/>
              </w:rPr>
              <w:t>CARACTERÍSTICAS ADICIONAIS: OCOMPRIMENTO DA AGULHA PODERÁ VARIAR EM ATÉ +/- 2 MM.</w:t>
            </w:r>
          </w:p>
        </w:tc>
        <w:tc>
          <w:tcPr>
            <w:tcW w:w="514" w:type="pct"/>
            <w:shd w:val="clear" w:color="FFFFFF" w:fill="FFFFFF"/>
            <w:vAlign w:val="center"/>
          </w:tcPr>
          <w:p w14:paraId="2F84C2B4">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25" w:type="pct"/>
            <w:shd w:val="clear" w:color="FFFFCC" w:fill="FFFFFF"/>
            <w:noWrap/>
            <w:vAlign w:val="center"/>
          </w:tcPr>
          <w:p w14:paraId="418E376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3.000</w:t>
            </w:r>
          </w:p>
        </w:tc>
        <w:tc>
          <w:tcPr>
            <w:tcW w:w="711" w:type="pct"/>
            <w:shd w:val="clear" w:color="000000" w:fill="FFFFFF"/>
            <w:noWrap/>
            <w:vAlign w:val="center"/>
          </w:tcPr>
          <w:p w14:paraId="3CA3833C">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13,08 </w:t>
            </w:r>
          </w:p>
        </w:tc>
        <w:tc>
          <w:tcPr>
            <w:tcW w:w="743" w:type="pct"/>
            <w:shd w:val="clear" w:color="000000" w:fill="FFFFFF"/>
            <w:noWrap/>
            <w:vAlign w:val="center"/>
          </w:tcPr>
          <w:p w14:paraId="0FEA15C3">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39.240,00 </w:t>
            </w:r>
          </w:p>
        </w:tc>
      </w:tr>
      <w:tr w14:paraId="462D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53" w:type="pct"/>
            <w:shd w:val="clear" w:color="FFFFCC" w:fill="FFFFFF"/>
            <w:vAlign w:val="center"/>
          </w:tcPr>
          <w:p w14:paraId="1B8B156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w:t>
            </w:r>
          </w:p>
        </w:tc>
        <w:tc>
          <w:tcPr>
            <w:tcW w:w="459" w:type="pct"/>
            <w:shd w:val="clear" w:color="FFFFCC" w:fill="FFFFFF"/>
            <w:vAlign w:val="center"/>
          </w:tcPr>
          <w:p w14:paraId="042D425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487249</w:t>
            </w:r>
          </w:p>
        </w:tc>
        <w:tc>
          <w:tcPr>
            <w:tcW w:w="1694" w:type="pct"/>
            <w:shd w:val="clear" w:color="FFFFCC" w:fill="FFFFFF"/>
            <w:vAlign w:val="center"/>
          </w:tcPr>
          <w:p w14:paraId="162934C7">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AGULHADO, MATERIAL FIO: POLIGLECAPRONE INCOLOR, MODELO FIO: MONOFILAMENTAR, COMPONENTE FIO: C/ BACTERIOSTÁTICO / BACTERICIDA, DIÂMETRO FIO: 3-0, COMPRIMENTO FIO: CERCA DE 70 CM, TIPO AGULHA: AGULHA 3/8 CÍRCULO, MODELO AGULHA: CORTANTE REVERSA / INVERTIDA, COMPRIMENTO AGULHA: CERCA DE 20 MM, ESTERILIDADE: ESTÉRIL, APRESENTAÇÃO: EMBALAGEM INDIVIDUAL.</w:t>
            </w:r>
            <w:r>
              <w:rPr>
                <w:rFonts w:eastAsia="Times New Roman" w:cstheme="minorHAnsi"/>
                <w:color w:val="FF0000"/>
                <w:sz w:val="16"/>
                <w:szCs w:val="16"/>
                <w:lang w:eastAsia="pt-BR"/>
              </w:rPr>
              <w:br w:type="textWrapping"/>
            </w:r>
            <w:r>
              <w:rPr>
                <w:rFonts w:eastAsia="Times New Roman" w:cstheme="minorHAnsi"/>
                <w:color w:val="FF0000"/>
                <w:sz w:val="16"/>
                <w:szCs w:val="16"/>
                <w:lang w:eastAsia="pt-BR"/>
              </w:rPr>
              <w:t>CARACTERÍSTICAS ADICIONAIS: O CORPO DA AGULHA DEVERÁ SER RETANGULAR OU QUADRADO E O COMPRIMENTO DA MESMA PODERÁ VARIAR EM ATÉ +/- 1 MM.</w:t>
            </w:r>
          </w:p>
        </w:tc>
        <w:tc>
          <w:tcPr>
            <w:tcW w:w="514" w:type="pct"/>
            <w:shd w:val="clear" w:color="FFFFFF" w:fill="FFFFFF"/>
            <w:vAlign w:val="center"/>
          </w:tcPr>
          <w:p w14:paraId="3061E0E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25" w:type="pct"/>
            <w:shd w:val="clear" w:color="FFFFCC" w:fill="FFFFFF"/>
            <w:vAlign w:val="center"/>
          </w:tcPr>
          <w:p w14:paraId="0660B513">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5.000</w:t>
            </w:r>
          </w:p>
        </w:tc>
        <w:tc>
          <w:tcPr>
            <w:tcW w:w="711" w:type="pct"/>
            <w:shd w:val="clear" w:color="000000" w:fill="FFFFFF"/>
            <w:noWrap/>
            <w:vAlign w:val="center"/>
          </w:tcPr>
          <w:p w14:paraId="61CFE70B">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20,02 </w:t>
            </w:r>
          </w:p>
        </w:tc>
        <w:tc>
          <w:tcPr>
            <w:tcW w:w="743" w:type="pct"/>
            <w:shd w:val="clear" w:color="000000" w:fill="FFFFFF"/>
            <w:noWrap/>
            <w:vAlign w:val="center"/>
          </w:tcPr>
          <w:p w14:paraId="0B32F2C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100.100,00 </w:t>
            </w:r>
          </w:p>
        </w:tc>
      </w:tr>
      <w:tr w14:paraId="1127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77" w:hRule="atLeast"/>
        </w:trPr>
        <w:tc>
          <w:tcPr>
            <w:tcW w:w="253" w:type="pct"/>
            <w:shd w:val="clear" w:color="FFFFCC" w:fill="FFFFFF"/>
            <w:vAlign w:val="center"/>
          </w:tcPr>
          <w:p w14:paraId="495DE93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9</w:t>
            </w:r>
          </w:p>
        </w:tc>
        <w:tc>
          <w:tcPr>
            <w:tcW w:w="459" w:type="pct"/>
            <w:shd w:val="clear" w:color="FFFFCC" w:fill="FFFFFF"/>
            <w:vAlign w:val="center"/>
          </w:tcPr>
          <w:p w14:paraId="5ACB07A1">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487489</w:t>
            </w:r>
          </w:p>
        </w:tc>
        <w:tc>
          <w:tcPr>
            <w:tcW w:w="1694" w:type="pct"/>
            <w:shd w:val="clear" w:color="FFFFCC" w:fill="FFFFFF"/>
            <w:vAlign w:val="center"/>
          </w:tcPr>
          <w:p w14:paraId="34946A4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AGULHADO, MATERIAL FIO: POLIPROPILENO AZUL, MODELO FIO: MONOFILAMENTAR, DIÂMETRO FIO: 6-0, COMPRIMENTO FIO: CERCA DE 70 CM, TIPO AGULHA: 2 AGULHAS 3/8 CÍRCULO NAS EXTREMIDADES, MODELO AGULHA: CORTANTE, COMPRIMENTO AGULHA: CERCA DE 14 MM, ESTERILIDADE: ESTÉRIL, APRESENTAÇÃO: EMBALAGEM INDIVIDUAL.</w:t>
            </w:r>
            <w:r>
              <w:rPr>
                <w:rFonts w:eastAsia="Times New Roman" w:cstheme="minorHAnsi"/>
                <w:color w:val="FF0000"/>
                <w:sz w:val="16"/>
                <w:szCs w:val="16"/>
                <w:lang w:eastAsia="pt-BR"/>
              </w:rPr>
              <w:br w:type="textWrapping"/>
            </w:r>
            <w:r>
              <w:rPr>
                <w:rFonts w:eastAsia="Times New Roman" w:cstheme="minorHAnsi"/>
                <w:color w:val="FF0000"/>
                <w:sz w:val="16"/>
                <w:szCs w:val="16"/>
                <w:lang w:eastAsia="pt-BR"/>
              </w:rPr>
              <w:t>CARACTERÍSTICAS ADICIONAIS:O CORPO DA AGULHA DEVERÁ SER RETANGULAR OU QUADRADO, O COMPRIMENTO DA MESMA DEVERÁ SER 13 MM E O COMPRIMENTO DO FIO PODERÁ VARIAR EM ATÉ +/- 5 CM.</w:t>
            </w:r>
          </w:p>
        </w:tc>
        <w:tc>
          <w:tcPr>
            <w:tcW w:w="514" w:type="pct"/>
            <w:shd w:val="clear" w:color="FFFFFF" w:fill="FFFFFF"/>
            <w:vAlign w:val="center"/>
          </w:tcPr>
          <w:p w14:paraId="57ACCE8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vAlign w:val="center"/>
          </w:tcPr>
          <w:p w14:paraId="108A70E6">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11.000</w:t>
            </w:r>
          </w:p>
        </w:tc>
        <w:tc>
          <w:tcPr>
            <w:tcW w:w="711" w:type="pct"/>
            <w:shd w:val="clear" w:color="000000" w:fill="FFFFFF"/>
            <w:noWrap/>
            <w:vAlign w:val="center"/>
          </w:tcPr>
          <w:p w14:paraId="1222476F">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33,00 </w:t>
            </w:r>
          </w:p>
        </w:tc>
        <w:tc>
          <w:tcPr>
            <w:tcW w:w="743" w:type="pct"/>
            <w:shd w:val="clear" w:color="000000" w:fill="FFFFFF"/>
            <w:noWrap/>
            <w:vAlign w:val="center"/>
          </w:tcPr>
          <w:p w14:paraId="72A79FB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363.000,00 </w:t>
            </w:r>
          </w:p>
        </w:tc>
      </w:tr>
      <w:tr w14:paraId="3C02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67" w:hRule="atLeast"/>
        </w:trPr>
        <w:tc>
          <w:tcPr>
            <w:tcW w:w="253" w:type="pct"/>
            <w:shd w:val="clear" w:color="FFFFCC" w:fill="FFFFFF"/>
            <w:vAlign w:val="center"/>
          </w:tcPr>
          <w:p w14:paraId="1F54C2DA">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w:t>
            </w:r>
          </w:p>
        </w:tc>
        <w:tc>
          <w:tcPr>
            <w:tcW w:w="459" w:type="pct"/>
            <w:shd w:val="clear" w:color="FFFFCC" w:fill="FFFFFF"/>
            <w:vAlign w:val="center"/>
          </w:tcPr>
          <w:p w14:paraId="77E481F9">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487498</w:t>
            </w:r>
          </w:p>
        </w:tc>
        <w:tc>
          <w:tcPr>
            <w:tcW w:w="1694" w:type="pct"/>
            <w:shd w:val="clear" w:color="FFFFCC" w:fill="FFFFFF"/>
            <w:vAlign w:val="center"/>
          </w:tcPr>
          <w:p w14:paraId="58007429">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AGULHADO, MATERIAL FIO: POLIPROPILENO AZUL, MODELO FIO: MONOFILAMENTAR, DIÂMETRO FIO: 5-0, COMPRIMENTO FIO: CERCA DE 70 CM, TIPO AGULHA: 2 AGULHAS 3/8 CÍRCULO NAS EXTREMIDADES, MODELO AGULHA: CILÍNDRICA, COMPRIMENTO AGULHA: CERCA DE 14 MM, ESTERILIDADE: ESTÉRIL, APRESENTAÇÃO: EMBALAGEM INDIVIDUAL.</w:t>
            </w:r>
            <w:r>
              <w:rPr>
                <w:rFonts w:eastAsia="Times New Roman" w:cstheme="minorHAnsi"/>
                <w:color w:val="FF0000"/>
                <w:sz w:val="16"/>
                <w:szCs w:val="16"/>
                <w:lang w:eastAsia="pt-BR"/>
              </w:rPr>
              <w:br w:type="textWrapping"/>
            </w:r>
            <w:r>
              <w:rPr>
                <w:rFonts w:eastAsia="Times New Roman" w:cstheme="minorHAnsi"/>
                <w:color w:val="FF0000"/>
                <w:sz w:val="16"/>
                <w:szCs w:val="16"/>
                <w:lang w:eastAsia="pt-BR"/>
              </w:rPr>
              <w:t>CARACTERÍSTICAS ADICIONAIS: O CORPO DA AGULHA DEVERÁ SER RETANGULAR OU QUADRADO, O COMPRIMENTO DA MESMA DEVERÁ SER 9,3 MM E O COMPRIMENTO DO FIO DEVERÁ SER 60 CM.</w:t>
            </w:r>
          </w:p>
        </w:tc>
        <w:tc>
          <w:tcPr>
            <w:tcW w:w="514" w:type="pct"/>
            <w:shd w:val="clear" w:color="FFFFFF" w:fill="FFFFFF"/>
            <w:vAlign w:val="center"/>
          </w:tcPr>
          <w:p w14:paraId="7BDDA1B6">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noWrap/>
            <w:vAlign w:val="center"/>
          </w:tcPr>
          <w:p w14:paraId="3B0C6F7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4500</w:t>
            </w:r>
          </w:p>
        </w:tc>
        <w:tc>
          <w:tcPr>
            <w:tcW w:w="711" w:type="pct"/>
            <w:shd w:val="clear" w:color="000000" w:fill="FFFFFF"/>
            <w:noWrap/>
            <w:vAlign w:val="center"/>
          </w:tcPr>
          <w:p w14:paraId="32050E42">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48,00 </w:t>
            </w:r>
          </w:p>
        </w:tc>
        <w:tc>
          <w:tcPr>
            <w:tcW w:w="743" w:type="pct"/>
            <w:shd w:val="clear" w:color="000000" w:fill="FFFFFF"/>
            <w:noWrap/>
            <w:vAlign w:val="center"/>
          </w:tcPr>
          <w:p w14:paraId="052A59F5">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216.000,00 </w:t>
            </w:r>
          </w:p>
        </w:tc>
      </w:tr>
      <w:tr w14:paraId="2C33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3" w:type="pct"/>
            <w:shd w:val="clear" w:color="FFFFCC" w:fill="FFFFFF"/>
            <w:vAlign w:val="center"/>
          </w:tcPr>
          <w:p w14:paraId="3DE4323F">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11</w:t>
            </w:r>
          </w:p>
        </w:tc>
        <w:tc>
          <w:tcPr>
            <w:tcW w:w="459" w:type="pct"/>
            <w:shd w:val="clear" w:color="FFFFCC" w:fill="FFFFFF"/>
            <w:vAlign w:val="center"/>
          </w:tcPr>
          <w:p w14:paraId="54D3FEAC">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487476</w:t>
            </w:r>
          </w:p>
        </w:tc>
        <w:tc>
          <w:tcPr>
            <w:tcW w:w="1694" w:type="pct"/>
            <w:shd w:val="clear" w:color="FFFFCC" w:fill="FFFFFF"/>
            <w:vAlign w:val="center"/>
          </w:tcPr>
          <w:p w14:paraId="30930E53">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DE SUTURA AGULHADO, MATERIAL FIO: POLIPROPILENO AZUL, MODELO FIO: MONOFILAMENTAR, DIÂMETRO FIO: 7-0, COMPRIMENTO FIO: CERCA DE 60 CM, TIPO AGULHA: 2 AGULHAS 3/8 CÍRCULO NAS EXTREMIDADES, MODELO AGULHA: CILÍNDRICA, COMPRIMENTO AGULHA: CERCA DE 10 MM, ESTERILIDADE: ESTÉRIL, APRESENTAÇÃO: EMBALAGEM INDIVIDUAL.</w:t>
            </w:r>
            <w:r>
              <w:rPr>
                <w:rFonts w:eastAsia="Times New Roman" w:cstheme="minorHAnsi"/>
                <w:color w:val="FF0000"/>
                <w:sz w:val="16"/>
                <w:szCs w:val="16"/>
                <w:lang w:eastAsia="pt-BR"/>
              </w:rPr>
              <w:br w:type="textWrapping"/>
            </w:r>
            <w:r>
              <w:rPr>
                <w:rFonts w:eastAsia="Times New Roman" w:cstheme="minorHAnsi"/>
                <w:color w:val="FF0000"/>
                <w:sz w:val="16"/>
                <w:szCs w:val="16"/>
                <w:lang w:eastAsia="pt-BR"/>
              </w:rPr>
              <w:t>CARACTERÍSTICAS ADICIONAIS: O CORPO DA AGULHA DEVERÁ SER  QUADRADO OU RETANGULAR, 0,93 MM PONTA CILINDRICA.</w:t>
            </w:r>
          </w:p>
        </w:tc>
        <w:tc>
          <w:tcPr>
            <w:tcW w:w="514" w:type="pct"/>
            <w:shd w:val="clear" w:color="FFFFFF" w:fill="FFFFFF"/>
            <w:vAlign w:val="center"/>
          </w:tcPr>
          <w:p w14:paraId="14AE8086">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UNIDADE</w:t>
            </w:r>
          </w:p>
        </w:tc>
        <w:tc>
          <w:tcPr>
            <w:tcW w:w="625" w:type="pct"/>
            <w:shd w:val="clear" w:color="FFFFCC" w:fill="FFFFFF"/>
            <w:vAlign w:val="center"/>
          </w:tcPr>
          <w:p w14:paraId="438F2748">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5.500</w:t>
            </w:r>
          </w:p>
        </w:tc>
        <w:tc>
          <w:tcPr>
            <w:tcW w:w="711" w:type="pct"/>
            <w:shd w:val="clear" w:color="000000" w:fill="FFFFFF"/>
            <w:noWrap/>
            <w:vAlign w:val="center"/>
          </w:tcPr>
          <w:p w14:paraId="7343B819">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120,00 </w:t>
            </w:r>
          </w:p>
        </w:tc>
        <w:tc>
          <w:tcPr>
            <w:tcW w:w="743" w:type="pct"/>
            <w:shd w:val="clear" w:color="000000" w:fill="FFFFFF"/>
            <w:noWrap/>
            <w:vAlign w:val="center"/>
          </w:tcPr>
          <w:p w14:paraId="04B0FCE4">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660.000,00 </w:t>
            </w:r>
          </w:p>
        </w:tc>
      </w:tr>
      <w:tr w14:paraId="1AAC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59" w:hRule="atLeast"/>
        </w:trPr>
        <w:tc>
          <w:tcPr>
            <w:tcW w:w="2920" w:type="pct"/>
            <w:gridSpan w:val="4"/>
            <w:shd w:val="clear" w:color="auto" w:fill="A5A5A5" w:themeFill="background1" w:themeFillShade="A6"/>
            <w:noWrap/>
            <w:vAlign w:val="center"/>
          </w:tcPr>
          <w:p w14:paraId="2037ABD4">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Valor Total Estimado R$ </w:t>
            </w:r>
          </w:p>
        </w:tc>
        <w:tc>
          <w:tcPr>
            <w:tcW w:w="2080" w:type="pct"/>
            <w:gridSpan w:val="3"/>
            <w:shd w:val="clear" w:color="auto" w:fill="A5A5A5" w:themeFill="background1" w:themeFillShade="A6"/>
            <w:noWrap/>
            <w:vAlign w:val="center"/>
          </w:tcPr>
          <w:p w14:paraId="29544536">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 R$                                                    1.555.585,60 </w:t>
            </w:r>
          </w:p>
        </w:tc>
      </w:tr>
    </w:tbl>
    <w:p w14:paraId="3C21EF25">
      <w:pPr>
        <w:pStyle w:val="65"/>
        <w:numPr>
          <w:ilvl w:val="1"/>
          <w:numId w:val="8"/>
        </w:numPr>
        <w:spacing w:before="120" w:after="120"/>
        <w:ind w:left="0"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 Fica estimado o valor global para futura aquisição em R$ 1.555.585,60 (Um milhão, quinhentos e cinquenta e cinco mil, quinhentos e oitenta e cinco e sessenta centavos).</w:t>
      </w:r>
    </w:p>
    <w:p w14:paraId="6499A974">
      <w:pPr>
        <w:pStyle w:val="65"/>
        <w:numPr>
          <w:ilvl w:val="1"/>
          <w:numId w:val="8"/>
        </w:numPr>
        <w:spacing w:before="120" w:after="120"/>
        <w:ind w:left="0"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050DDD90">
      <w:pPr>
        <w:pStyle w:val="65"/>
        <w:numPr>
          <w:ilvl w:val="1"/>
          <w:numId w:val="8"/>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18D4498D">
      <w:pPr>
        <w:pStyle w:val="65"/>
        <w:numPr>
          <w:ilvl w:val="1"/>
          <w:numId w:val="8"/>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58BE6F04">
      <w:pPr>
        <w:pStyle w:val="65"/>
        <w:numPr>
          <w:ilvl w:val="1"/>
          <w:numId w:val="8"/>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14:textFill>
            <w14:solidFill>
              <w14:schemeClr w14:val="tx1"/>
            </w14:solidFill>
          </w14:textFill>
        </w:rPr>
        <w:t>, contados da assinatura do contrato ou instrumento equivalente, na forma do artigo 105 da Lei n° 14.133, de 2021.</w:t>
      </w:r>
    </w:p>
    <w:p w14:paraId="5D73DD52">
      <w:pPr>
        <w:pStyle w:val="65"/>
        <w:numPr>
          <w:ilvl w:val="1"/>
          <w:numId w:val="8"/>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391FC4A1">
      <w:pPr>
        <w:pStyle w:val="65"/>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1F9459B3">
      <w:pPr>
        <w:pStyle w:val="65"/>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6D486E7C">
      <w:pPr>
        <w:pStyle w:val="65"/>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44DADFAC">
      <w:pPr>
        <w:pStyle w:val="65"/>
        <w:numPr>
          <w:ilvl w:val="1"/>
          <w:numId w:val="8"/>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6294199A">
      <w:pPr>
        <w:pStyle w:val="87"/>
        <w:numPr>
          <w:ilvl w:val="0"/>
          <w:numId w:val="8"/>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677AB26D">
      <w:pPr>
        <w:pStyle w:val="65"/>
        <w:numPr>
          <w:ilvl w:val="1"/>
          <w:numId w:val="8"/>
        </w:numPr>
        <w:tabs>
          <w:tab w:val="left" w:pos="426"/>
        </w:tabs>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Pr>
          <w:rFonts w:asciiTheme="minorHAnsi" w:hAnsiTheme="minorHAnsi" w:cstheme="minorHAnsi"/>
          <w:bCs/>
          <w:color w:val="0070C0"/>
          <w:sz w:val="22"/>
          <w:szCs w:val="22"/>
        </w:rPr>
        <w:t>tópico 4</w:t>
      </w:r>
      <w:r>
        <w:rPr>
          <w:rFonts w:asciiTheme="minorHAnsi" w:hAnsiTheme="minorHAnsi" w:cstheme="minorHAnsi"/>
          <w:bCs/>
          <w:sz w:val="22"/>
          <w:szCs w:val="22"/>
        </w:rPr>
        <w:t>, apêndice deste Termo de Referência.</w:t>
      </w:r>
    </w:p>
    <w:p w14:paraId="09BAF3DA">
      <w:pPr>
        <w:pStyle w:val="65"/>
        <w:numPr>
          <w:ilvl w:val="1"/>
          <w:numId w:val="8"/>
        </w:numPr>
        <w:tabs>
          <w:tab w:val="left" w:pos="426"/>
        </w:tabs>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5BC2A1F7">
      <w:pPr>
        <w:pStyle w:val="65"/>
        <w:numPr>
          <w:ilvl w:val="1"/>
          <w:numId w:val="8"/>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123384B6">
      <w:pPr>
        <w:pStyle w:val="65"/>
        <w:numPr>
          <w:ilvl w:val="1"/>
          <w:numId w:val="8"/>
        </w:numPr>
        <w:tabs>
          <w:tab w:val="left" w:pos="426"/>
        </w:tabs>
        <w:spacing w:before="120" w:after="120"/>
        <w:ind w:left="0" w:right="-1" w:firstLine="0"/>
        <w:contextualSpacing w:val="0"/>
        <w:jc w:val="both"/>
        <w:rPr>
          <w:rFonts w:asciiTheme="minorHAnsi" w:hAnsiTheme="minorHAnsi" w:cstheme="minorHAnsi"/>
          <w:bCs/>
          <w:color w:val="EE0000"/>
          <w:sz w:val="22"/>
          <w:szCs w:val="22"/>
        </w:rPr>
      </w:pPr>
      <w:bookmarkStart w:id="90" w:name="_Hlk219440818"/>
      <w:r>
        <w:rPr>
          <w:rFonts w:asciiTheme="minorHAnsi" w:hAnsiTheme="minorHAnsi" w:cstheme="minorHAnsi"/>
          <w:bCs/>
          <w:color w:val="EE0000"/>
          <w:sz w:val="22"/>
          <w:szCs w:val="22"/>
        </w:rPr>
        <w:t>A presente aquisição tem por finalidade o suprimento de fios de sutura, indispensáveis à realização de procedimentos cirúrgicos e ambulatoriais, à síntese tecidual adequada, à hemostasia e à prevenção de complicações pós-operatórias, incluindo infecções e deiscências. O objetivo central é assegurar a eficácia dos atos cirúrgicos e a continuidade da assistência, reduzindo riscos de falhas técnicas ou eventos adversos que possam comprometer a segurança do paciente.</w:t>
      </w:r>
    </w:p>
    <w:p w14:paraId="1F928729">
      <w:pPr>
        <w:pStyle w:val="65"/>
        <w:numPr>
          <w:ilvl w:val="1"/>
          <w:numId w:val="8"/>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aquisição dos fios de sutura visa assegurar o abastecimento contínuo desses insumos essenciais, indispensáveis à realização de procedimentos cirúrgicos e ambulatoriais. Tais materiais são fundamentais para a adequada aproximação e síntese dos tecidos, hemostasia, prevenção de complicações pós-operatórias e redução do risco de infecções, contribuindo diretamente para a segurança do paciente, qualidade assistencial e continuidade dos serviços de saúde.</w:t>
      </w:r>
    </w:p>
    <w:p w14:paraId="0B02CEBB">
      <w:pPr>
        <w:pStyle w:val="65"/>
        <w:numPr>
          <w:ilvl w:val="1"/>
          <w:numId w:val="8"/>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No contexto hospitalar, a qualidade dos fios de sutura está diretamente relacionada à sua funcionalidade, segurança e desempenho clínico. Os itens a serem adquiridos devem apresentar conformidade com as normas técnicas e sanitárias vigentes, contemplando requisitos de biocompatibilidade, resistência tênsil, previsibilidade de absorção (quando aplicável), esterilidade, integridade da embalagem e estabilidade durante o período de uso, garantindo resultados assistenciais consistentes e seguros.</w:t>
      </w:r>
    </w:p>
    <w:p w14:paraId="2248A06B">
      <w:pPr>
        <w:pStyle w:val="65"/>
        <w:numPr>
          <w:ilvl w:val="1"/>
          <w:numId w:val="8"/>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55920B07">
      <w:pPr>
        <w:pStyle w:val="65"/>
        <w:numPr>
          <w:ilvl w:val="1"/>
          <w:numId w:val="8"/>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p>
    <w:p w14:paraId="2F3B13AB">
      <w:pPr>
        <w:pStyle w:val="21"/>
        <w:spacing w:before="120" w:beforeAutospacing="0" w:after="120" w:afterAutospacing="0"/>
        <w:ind w:left="2268" w:right="-1"/>
        <w:jc w:val="both"/>
        <w:rPr>
          <w:rFonts w:asciiTheme="minorHAnsi" w:hAnsiTheme="minorHAnsi" w:cstheme="minorHAnsi"/>
          <w:color w:val="EE0000"/>
          <w:sz w:val="22"/>
          <w:szCs w:val="22"/>
        </w:rPr>
      </w:pPr>
      <w:bookmarkStart w:id="91" w:name="art3iii"/>
      <w:bookmarkEnd w:id="91"/>
      <w:r>
        <w:rPr>
          <w:rFonts w:asciiTheme="minorHAnsi" w:hAnsiTheme="minorHAnsi" w:cstheme="minorHAnsi"/>
          <w:color w:val="EE0000"/>
          <w:sz w:val="22"/>
          <w:szCs w:val="22"/>
        </w:rPr>
        <w:t>“Art. 3º. O SRP poderá ser adotado quando a Administração julgar pertinente, em especial:</w:t>
      </w:r>
    </w:p>
    <w:p w14:paraId="57CF8FB3">
      <w:pPr>
        <w:pStyle w:val="21"/>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20C6EB40">
      <w:pPr>
        <w:pStyle w:val="21"/>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5F3D5485">
      <w:pPr>
        <w:pStyle w:val="21"/>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69D1B2CE">
      <w:pPr>
        <w:pStyle w:val="21"/>
        <w:spacing w:before="120" w:beforeAutospacing="0" w:after="120" w:afterAutospacing="0"/>
        <w:ind w:left="2268" w:right="-1"/>
        <w:jc w:val="both"/>
        <w:rPr>
          <w:rFonts w:asciiTheme="minorHAnsi" w:hAnsiTheme="minorHAnsi" w:cstheme="minorHAnsi"/>
          <w:color w:val="EE0000"/>
          <w:sz w:val="22"/>
          <w:szCs w:val="22"/>
        </w:rPr>
      </w:pPr>
      <w:bookmarkStart w:id="92" w:name="art3iiv"/>
      <w:bookmarkEnd w:id="92"/>
      <w:r>
        <w:rPr>
          <w:rFonts w:asciiTheme="minorHAnsi" w:hAnsiTheme="minorHAnsi" w:cstheme="minorHAnsi"/>
          <w:color w:val="EE0000"/>
          <w:sz w:val="22"/>
          <w:szCs w:val="22"/>
        </w:rPr>
        <w:t>V - Quando, pela natureza do objeto, não for possível definir previamente o quantitativo a ser demandado pela Administração.”</w:t>
      </w:r>
    </w:p>
    <w:bookmarkEnd w:id="90"/>
    <w:p w14:paraId="3E89831C">
      <w:pPr>
        <w:pStyle w:val="87"/>
        <w:numPr>
          <w:ilvl w:val="0"/>
          <w:numId w:val="8"/>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DESCRIÇÃO DA SOLUÇÃO COMO UM TODO CONSIDERADO O CICLO DE VIDA DO OBJETO E ESPECIFICAÇÃO DO PRODUTO</w:t>
      </w:r>
    </w:p>
    <w:p w14:paraId="04A69C8A">
      <w:pPr>
        <w:numPr>
          <w:ilvl w:val="1"/>
          <w:numId w:val="8"/>
        </w:numPr>
        <w:spacing w:before="120" w:after="120" w:line="240" w:lineRule="auto"/>
        <w:ind w:left="0" w:right="-1" w:firstLine="0"/>
        <w:jc w:val="both"/>
        <w:rPr>
          <w:rFonts w:cstheme="minorHAnsi"/>
          <w:bCs/>
          <w:iCs/>
        </w:rPr>
      </w:pPr>
      <w:bookmarkStart w:id="93" w:name="_Ref121236534"/>
      <w:r>
        <w:rPr>
          <w:rFonts w:cstheme="minorHAnsi"/>
          <w:bCs/>
          <w:iCs/>
        </w:rPr>
        <w:t xml:space="preserve">A descrição da solução como um todo encontra-se pormenorizada em tópico específico dos Estudos Técnicos Preliminares, </w:t>
      </w:r>
      <w:r>
        <w:rPr>
          <w:rFonts w:cstheme="minorHAnsi"/>
          <w:bCs/>
          <w:iCs/>
          <w:color w:val="0070C0"/>
        </w:rPr>
        <w:t>tópico 12</w:t>
      </w:r>
      <w:r>
        <w:rPr>
          <w:rFonts w:cstheme="minorHAnsi"/>
          <w:bCs/>
          <w:iCs/>
        </w:rPr>
        <w:t>,  apêndice deste Termo de Referência.</w:t>
      </w:r>
      <w:bookmarkEnd w:id="93"/>
    </w:p>
    <w:p w14:paraId="59F349A7">
      <w:pPr>
        <w:pStyle w:val="87"/>
        <w:numPr>
          <w:ilvl w:val="0"/>
          <w:numId w:val="8"/>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REQUISITOS DA CONTRATAÇÃO</w:t>
      </w:r>
    </w:p>
    <w:p w14:paraId="192C40A0">
      <w:pPr>
        <w:pStyle w:val="51"/>
        <w:rPr>
          <w:rFonts w:asciiTheme="minorHAnsi" w:hAnsiTheme="minorHAnsi" w:cstheme="minorHAnsi"/>
        </w:rPr>
      </w:pPr>
      <w:r>
        <w:rPr>
          <w:rFonts w:asciiTheme="minorHAnsi" w:hAnsiTheme="minorHAnsi" w:cstheme="minorHAnsi"/>
        </w:rPr>
        <w:t>Sustentabilidade</w:t>
      </w:r>
    </w:p>
    <w:p w14:paraId="5B409AAA">
      <w:pPr>
        <w:pStyle w:val="65"/>
        <w:numPr>
          <w:ilvl w:val="1"/>
          <w:numId w:val="8"/>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Além dos critérios de sustentabilidade eventualmente inseridos na descrição do objeto, devem ser atendidos os seguintes requisitos, que se baseiam no Guia Nacional de Contratações Sustentáveis.</w:t>
      </w:r>
    </w:p>
    <w:p w14:paraId="673D3C1A">
      <w:pPr>
        <w:pStyle w:val="65"/>
        <w:numPr>
          <w:ilvl w:val="1"/>
          <w:numId w:val="8"/>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fornecedores deverão oferecer os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que atendam o disposto no art.  5º da Instrução Normativa 01, de 19 de janeiro de 2010, a saber:</w:t>
      </w:r>
    </w:p>
    <w:p w14:paraId="0603F5D0">
      <w:pPr>
        <w:pStyle w:val="65"/>
        <w:tabs>
          <w:tab w:val="left" w:pos="284"/>
          <w:tab w:val="left" w:pos="1701"/>
        </w:tabs>
        <w:spacing w:before="120" w:after="120"/>
        <w:ind w:left="0" w:right="-1"/>
        <w:contextualSpacing w:val="0"/>
        <w:jc w:val="both"/>
        <w:rPr>
          <w:rFonts w:asciiTheme="minorHAnsi" w:hAnsiTheme="minorHAnsi" w:cstheme="minorHAnsi"/>
          <w:color w:val="EE0000"/>
          <w:sz w:val="22"/>
          <w:szCs w:val="22"/>
          <w:lang w:eastAsia="en-US"/>
        </w:rPr>
      </w:pPr>
      <w:r>
        <w:rPr>
          <w:rFonts w:asciiTheme="minorHAnsi" w:hAnsiTheme="minorHAnsi" w:cstheme="minorHAnsi"/>
          <w:color w:val="EE0000"/>
          <w:sz w:val="22"/>
          <w:szCs w:val="22"/>
          <w:lang w:eastAsia="en-US"/>
        </w:rPr>
        <w:t xml:space="preserve">4.2.1. Entregar bens que sejam constituídos, no todo ou em parte, por material reciclado, atóxico, biodegradável, conforme normas da ABNT; </w:t>
      </w:r>
    </w:p>
    <w:p w14:paraId="09283751">
      <w:pPr>
        <w:tabs>
          <w:tab w:val="left" w:pos="284"/>
          <w:tab w:val="left" w:pos="1701"/>
        </w:tabs>
        <w:spacing w:before="120" w:after="120"/>
        <w:ind w:right="-1"/>
        <w:jc w:val="both"/>
        <w:rPr>
          <w:rFonts w:cstheme="minorHAnsi"/>
          <w:color w:val="EE0000"/>
        </w:rPr>
      </w:pPr>
      <w:r>
        <w:rPr>
          <w:rFonts w:cstheme="minorHAnsi"/>
          <w:color w:val="EE0000"/>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03C4A42C">
      <w:pPr>
        <w:tabs>
          <w:tab w:val="left" w:pos="284"/>
          <w:tab w:val="left" w:pos="1701"/>
        </w:tabs>
        <w:spacing w:before="120" w:after="120"/>
        <w:ind w:right="-1"/>
        <w:jc w:val="both"/>
        <w:rPr>
          <w:rFonts w:cstheme="minorHAnsi"/>
          <w:color w:val="EE0000"/>
        </w:rPr>
      </w:pPr>
      <w:r>
        <w:rPr>
          <w:rFonts w:cstheme="minorHAnsi"/>
          <w:color w:val="EE0000"/>
        </w:rPr>
        <w:t>4.2.3. Acondicionar os bens, preferencialmente, em embalagem individual adequada, com o menor volume possível, que utilize materiais recicláveis, de forma a garantir a máxima proteção durante o transporte e o armazenamento;</w:t>
      </w:r>
    </w:p>
    <w:p w14:paraId="4CBDF3F1">
      <w:pPr>
        <w:tabs>
          <w:tab w:val="left" w:pos="284"/>
          <w:tab w:val="left" w:pos="1701"/>
        </w:tabs>
        <w:spacing w:before="120" w:after="120"/>
        <w:ind w:right="-1"/>
        <w:jc w:val="both"/>
        <w:rPr>
          <w:rFonts w:cstheme="minorHAnsi"/>
          <w:color w:val="EE0000"/>
        </w:rPr>
      </w:pPr>
      <w:r>
        <w:rPr>
          <w:rFonts w:cstheme="minorHAnsi"/>
          <w:color w:val="EE0000"/>
        </w:rPr>
        <w:t>4.2.4.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110E8AE9">
      <w:pPr>
        <w:pStyle w:val="65"/>
        <w:numPr>
          <w:ilvl w:val="1"/>
          <w:numId w:val="8"/>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C62CEFB">
      <w:pPr>
        <w:pStyle w:val="65"/>
        <w:numPr>
          <w:ilvl w:val="1"/>
          <w:numId w:val="8"/>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099609FB">
      <w:pPr>
        <w:pStyle w:val="65"/>
        <w:numPr>
          <w:ilvl w:val="1"/>
          <w:numId w:val="8"/>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Para fornecimento de item cuja atividade de fabricação ou industrialização é enquadrada no Anexo I da Instrução Normativa IBAMA nº 06, de 15/03/2013, só será admitida a oferta de </w:t>
      </w:r>
      <w:r>
        <w:rPr>
          <w:rFonts w:asciiTheme="minorHAnsi" w:hAnsiTheme="minorHAnsi" w:cstheme="minorHAnsi"/>
          <w:color w:val="EE0000"/>
          <w:sz w:val="22"/>
          <w:szCs w:val="22"/>
        </w:rPr>
        <w:t>Materiais de Consumo Médico-Hospitalar,</w:t>
      </w:r>
      <w:r>
        <w:rPr>
          <w:rFonts w:asciiTheme="minorHAnsi" w:hAnsiTheme="minorHAnsi" w:cstheme="minorHAnsi"/>
          <w:bCs/>
          <w:color w:val="EE0000"/>
          <w:sz w:val="22"/>
          <w:szCs w:val="22"/>
        </w:rPr>
        <w:t xml:space="preserve"> cujo fabricante esteja regularmente registrado no Cadastro Técnico Federal de Atividades Potencialmente Poluidoras ou Utilizadoras de Recursos Ambientais, instituído pelo artigo 17, inciso II, da Lei nº 6.938 de 1981.</w:t>
      </w:r>
    </w:p>
    <w:p w14:paraId="7557570F">
      <w:pPr>
        <w:pStyle w:val="74"/>
        <w:spacing w:line="240" w:lineRule="auto"/>
        <w:ind w:right="-1"/>
        <w:rPr>
          <w:rFonts w:asciiTheme="minorHAnsi" w:hAnsiTheme="minorHAnsi" w:cstheme="minorHAnsi"/>
          <w:sz w:val="22"/>
          <w:szCs w:val="22"/>
        </w:rPr>
      </w:pPr>
      <w:r>
        <w:rPr>
          <w:rFonts w:asciiTheme="minorHAnsi" w:hAnsiTheme="minorHAnsi" w:cstheme="minorHAnsi"/>
          <w:sz w:val="22"/>
          <w:szCs w:val="22"/>
        </w:rPr>
        <w:t>Da exigência de amostra</w:t>
      </w:r>
    </w:p>
    <w:p w14:paraId="792CFB23">
      <w:pPr>
        <w:numPr>
          <w:ilvl w:val="1"/>
          <w:numId w:val="8"/>
        </w:numPr>
        <w:spacing w:before="120" w:after="120" w:line="240" w:lineRule="auto"/>
        <w:ind w:left="0" w:right="-1" w:firstLine="0"/>
        <w:jc w:val="both"/>
        <w:rPr>
          <w:rFonts w:cstheme="minorHAnsi"/>
          <w:bCs/>
          <w:iCs/>
        </w:rPr>
      </w:pPr>
      <w:r>
        <w:rPr>
          <w:rFonts w:cstheme="minorHAnsi"/>
          <w:bCs/>
          <w:iCs/>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p w14:paraId="60F0924A">
      <w:pPr>
        <w:pStyle w:val="65"/>
        <w:numPr>
          <w:ilvl w:val="1"/>
          <w:numId w:val="8"/>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eastAsiaTheme="minorHAnsi" w:cstheme="minorHAnsi"/>
          <w:bCs/>
          <w:iCs/>
          <w:color w:val="EE0000"/>
          <w:sz w:val="22"/>
          <w:szCs w:val="22"/>
          <w:lang w:eastAsia="en-US"/>
        </w:rPr>
        <w:t>Caso seja necessário o Pregoeiro poderá exigir do fornecedor amostras de todos os itens.</w:t>
      </w:r>
    </w:p>
    <w:p w14:paraId="358E77AD">
      <w:pPr>
        <w:pStyle w:val="65"/>
        <w:numPr>
          <w:ilvl w:val="1"/>
          <w:numId w:val="8"/>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cstheme="minorHAnsi"/>
          <w:bCs/>
          <w:iCs/>
          <w:color w:val="EE000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7"/>
          <w:rFonts w:asciiTheme="minorHAnsi" w:hAnsiTheme="minorHAnsi" w:cstheme="minorHAnsi"/>
          <w:bCs/>
          <w:iCs/>
          <w:color w:val="EE0000"/>
          <w:sz w:val="22"/>
          <w:szCs w:val="22"/>
        </w:rPr>
        <w:t>71 3283-5846</w:t>
      </w:r>
      <w:r>
        <w:rPr>
          <w:rStyle w:val="17"/>
          <w:rFonts w:asciiTheme="minorHAnsi" w:hAnsiTheme="minorHAnsi" w:cstheme="minorHAnsi"/>
          <w:bCs/>
          <w:iCs/>
          <w:color w:val="EE0000"/>
          <w:sz w:val="22"/>
          <w:szCs w:val="22"/>
        </w:rPr>
        <w:fldChar w:fldCharType="end"/>
      </w:r>
      <w:r>
        <w:rPr>
          <w:rFonts w:asciiTheme="minorHAnsi" w:hAnsiTheme="minorHAnsi" w:cstheme="minorHAnsi"/>
          <w:bCs/>
          <w:iCs/>
          <w:color w:val="EE000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bCs/>
          <w:iCs/>
          <w:color w:val="EE0000"/>
          <w:sz w:val="22"/>
          <w:szCs w:val="22"/>
        </w:rPr>
        <w:t>licitacaosiunis@ufba.br</w:t>
      </w:r>
      <w:r>
        <w:rPr>
          <w:rStyle w:val="17"/>
          <w:rFonts w:asciiTheme="minorHAnsi" w:hAnsiTheme="minorHAnsi" w:cstheme="minorHAnsi"/>
          <w:bCs/>
          <w:iCs/>
          <w:color w:val="EE0000"/>
          <w:sz w:val="22"/>
          <w:szCs w:val="22"/>
        </w:rPr>
        <w:fldChar w:fldCharType="end"/>
      </w:r>
      <w:r>
        <w:rPr>
          <w:rFonts w:asciiTheme="minorHAnsi" w:hAnsiTheme="minorHAnsi" w:cstheme="minorHAnsi"/>
          <w:bCs/>
          <w:iCs/>
          <w:color w:val="EE0000"/>
          <w:sz w:val="22"/>
          <w:szCs w:val="22"/>
        </w:rPr>
        <w:t>, no prazo limite de 05 (cinco) dias corridos, sendo que a empresa assume total responsabilidade pelo envio e por eventual atraso na entrega.</w:t>
      </w:r>
    </w:p>
    <w:p w14:paraId="5FD36499">
      <w:pPr>
        <w:numPr>
          <w:ilvl w:val="1"/>
          <w:numId w:val="8"/>
        </w:numPr>
        <w:spacing w:before="120" w:after="120" w:line="240" w:lineRule="auto"/>
        <w:ind w:left="0" w:right="-1" w:firstLine="0"/>
        <w:jc w:val="both"/>
        <w:rPr>
          <w:rFonts w:cstheme="minorHAnsi"/>
          <w:bCs/>
          <w:iCs/>
          <w:color w:val="EE0000"/>
        </w:rPr>
      </w:pPr>
      <w:r>
        <w:rPr>
          <w:rFonts w:cstheme="minorHAnsi"/>
          <w:bCs/>
          <w:iCs/>
          <w:color w:val="EE0000"/>
        </w:rPr>
        <w:t>É facultada prorrogação o prazo estabelecido, a partir de solicitação fundamentada no chat pelo interessado, antes de findo o prazo.</w:t>
      </w:r>
    </w:p>
    <w:p w14:paraId="3E8CD669">
      <w:pPr>
        <w:numPr>
          <w:ilvl w:val="1"/>
          <w:numId w:val="8"/>
        </w:numPr>
        <w:spacing w:before="120" w:after="120" w:line="240" w:lineRule="auto"/>
        <w:ind w:left="0" w:right="-1" w:firstLine="0"/>
        <w:jc w:val="both"/>
        <w:rPr>
          <w:rFonts w:cstheme="minorHAnsi"/>
          <w:bCs/>
          <w:iCs/>
          <w:color w:val="EE0000"/>
        </w:rPr>
      </w:pPr>
      <w:r>
        <w:rPr>
          <w:rFonts w:cstheme="minorHAnsi"/>
          <w:bCs/>
          <w:iCs/>
          <w:color w:val="EE0000"/>
        </w:rPr>
        <w:t>No caso de não haver entrega da amostra ou ocorrer atraso na entrega, sem justificativa aceita, ou havendo entrega de amostra fora das especificações previstas, a proposta será recusada.</w:t>
      </w:r>
    </w:p>
    <w:p w14:paraId="01CA9694">
      <w:pPr>
        <w:pStyle w:val="65"/>
        <w:numPr>
          <w:ilvl w:val="1"/>
          <w:numId w:val="8"/>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cstheme="minorHAnsi"/>
          <w:bCs/>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36A39F13">
      <w:pPr>
        <w:pStyle w:val="65"/>
        <w:numPr>
          <w:ilvl w:val="1"/>
          <w:numId w:val="8"/>
        </w:numPr>
        <w:spacing w:before="120" w:after="120"/>
        <w:ind w:left="0" w:right="-1" w:firstLine="0"/>
        <w:contextualSpacing w:val="0"/>
        <w:jc w:val="both"/>
        <w:rPr>
          <w:rFonts w:eastAsia="Calibri" w:asciiTheme="minorHAnsi" w:hAnsiTheme="minorHAnsi" w:cstheme="minorHAnsi"/>
          <w:bCs/>
          <w:iCs/>
          <w:color w:val="EE0000"/>
          <w:sz w:val="22"/>
          <w:szCs w:val="22"/>
        </w:rPr>
      </w:pPr>
      <w:r>
        <w:rPr>
          <w:rFonts w:asciiTheme="minorHAnsi" w:hAnsiTheme="minorHAnsi" w:cstheme="minorHAnsi"/>
          <w:bCs/>
          <w:color w:val="EE0000"/>
          <w:sz w:val="22"/>
          <w:szCs w:val="22"/>
        </w:rPr>
        <w:t xml:space="preserve">Serão avaliados os seguintes aspectos e padrões mínimos de aceitabilidade: </w:t>
      </w:r>
    </w:p>
    <w:p w14:paraId="6BA6A07E">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Atender às especificações constantes deste Termo de Referência;</w:t>
      </w:r>
    </w:p>
    <w:p w14:paraId="3563E699">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Estar na embalagem original dos materiais de consumo médico-hospitalar com dados de identificação completos: nome do material, data de fabricação, nº do lote, data de validade;</w:t>
      </w:r>
    </w:p>
    <w:p w14:paraId="4C154140">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Ter quantidade igual ou superior à solicitada pelo Pregoeiro;</w:t>
      </w:r>
    </w:p>
    <w:p w14:paraId="6B2053DF">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01361006">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Padronização e gerência de riscos, bem como, reprovação em testes anteriores, serão recusados pela gestão do hospital;  </w:t>
      </w:r>
    </w:p>
    <w:p w14:paraId="5215C2C5">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Falta de Compatibilidade com o descritivo técnico solicitado neste termo de referência.  </w:t>
      </w:r>
    </w:p>
    <w:p w14:paraId="78852A7E">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Avaliação de conformidade das embalagens e rótulos em consonância com os critérios estabelecidos na RDC 185/2001/MS/ANVISA.  </w:t>
      </w:r>
    </w:p>
    <w:p w14:paraId="56819669">
      <w:pPr>
        <w:pStyle w:val="65"/>
        <w:numPr>
          <w:ilvl w:val="1"/>
          <w:numId w:val="8"/>
        </w:numPr>
        <w:spacing w:before="120" w:after="120"/>
        <w:ind w:left="0" w:right="-1" w:firstLine="0"/>
        <w:contextualSpacing w:val="0"/>
        <w:jc w:val="both"/>
        <w:rPr>
          <w:rFonts w:eastAsia="Calibri" w:asciiTheme="minorHAnsi" w:hAnsiTheme="minorHAnsi" w:cstheme="minorHAnsi"/>
          <w:bCs/>
          <w:iCs/>
          <w:color w:val="EE0000"/>
          <w:sz w:val="22"/>
          <w:szCs w:val="22"/>
        </w:rPr>
      </w:pPr>
      <w:r>
        <w:rPr>
          <w:rFonts w:eastAsia="Calibri" w:asciiTheme="minorHAnsi" w:hAnsiTheme="minorHAnsi" w:cstheme="minorHAnsi"/>
          <w:bCs/>
          <w:iCs/>
          <w:color w:val="EE0000"/>
          <w:sz w:val="22"/>
          <w:szCs w:val="22"/>
        </w:rPr>
        <w:t>Os resultados das avaliações serão divulgados por meio de mensagem no sistema.</w:t>
      </w:r>
    </w:p>
    <w:p w14:paraId="5DEFE7FB">
      <w:pPr>
        <w:numPr>
          <w:ilvl w:val="1"/>
          <w:numId w:val="8"/>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00D9C05">
      <w:pPr>
        <w:numPr>
          <w:ilvl w:val="1"/>
          <w:numId w:val="8"/>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Os exemplares colocados à disposição da Administração serão tratados como protótipos, podendo ser manuseados e desmontados pela equipe técnica responsável pela análise, não gerando direito a ressarcimento.</w:t>
      </w:r>
    </w:p>
    <w:p w14:paraId="337AE515">
      <w:pPr>
        <w:numPr>
          <w:ilvl w:val="1"/>
          <w:numId w:val="8"/>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393B96E5">
      <w:pPr>
        <w:numPr>
          <w:ilvl w:val="1"/>
          <w:numId w:val="8"/>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DC03991">
      <w:pPr>
        <w:pStyle w:val="159"/>
        <w:rPr>
          <w:rFonts w:asciiTheme="minorHAnsi" w:hAnsiTheme="minorHAnsi" w:cstheme="minorHAnsi"/>
          <w:sz w:val="22"/>
          <w:szCs w:val="22"/>
        </w:rPr>
      </w:pPr>
      <w:r>
        <w:rPr>
          <w:rFonts w:asciiTheme="minorHAnsi" w:hAnsiTheme="minorHAnsi" w:cstheme="minorHAnsi"/>
          <w:sz w:val="22"/>
          <w:szCs w:val="22"/>
        </w:rPr>
        <w:t>Subcontratação</w:t>
      </w:r>
    </w:p>
    <w:p w14:paraId="4B80F07E">
      <w:pPr>
        <w:pStyle w:val="65"/>
        <w:widowControl w:val="0"/>
        <w:numPr>
          <w:ilvl w:val="1"/>
          <w:numId w:val="8"/>
        </w:numPr>
        <w:spacing w:before="120" w:after="120"/>
        <w:ind w:left="0" w:right="-1" w:firstLine="0"/>
        <w:contextualSpacing w:val="0"/>
        <w:jc w:val="both"/>
        <w:rPr>
          <w:rFonts w:asciiTheme="minorHAnsi" w:hAnsiTheme="minorHAnsi" w:cstheme="minorHAnsi"/>
          <w:iCs/>
          <w:color w:val="FF0000"/>
          <w:sz w:val="22"/>
          <w:szCs w:val="22"/>
        </w:rPr>
      </w:pPr>
      <w:r>
        <w:rPr>
          <w:rFonts w:asciiTheme="minorHAnsi" w:hAnsiTheme="minorHAnsi" w:cstheme="minorHAnsi"/>
          <w:iCs/>
          <w:color w:val="FF0000"/>
          <w:sz w:val="22"/>
          <w:szCs w:val="22"/>
        </w:rPr>
        <w:t>Não será admitida a subcontratação total do objeto contratual, observadas as disposições contidas no art. 122, da Lei nº 14.133, de 2021 e no Acordão nº 2.450/2025P/TCU.</w:t>
      </w:r>
    </w:p>
    <w:p w14:paraId="34C8BE10">
      <w:pPr>
        <w:pStyle w:val="65"/>
        <w:widowControl w:val="0"/>
        <w:numPr>
          <w:ilvl w:val="1"/>
          <w:numId w:val="8"/>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6E785AE">
      <w:pPr>
        <w:pStyle w:val="65"/>
        <w:widowControl w:val="0"/>
        <w:numPr>
          <w:ilvl w:val="1"/>
          <w:numId w:val="8"/>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A subcontratação depende de autorização prévia do Contratante, a quem incumbe avaliar se o subcontratado cumpre os requisitos de qualificação técnica necessários para a execução do objeto;</w:t>
      </w:r>
    </w:p>
    <w:p w14:paraId="75A60525">
      <w:pPr>
        <w:pStyle w:val="65"/>
        <w:widowControl w:val="0"/>
        <w:numPr>
          <w:ilvl w:val="1"/>
          <w:numId w:val="8"/>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O Contratado apresentará à Administração documentação que comprove a capacidade técnica do subcontratado, que será avaliada e juntada aos autos do processo correspondente.</w:t>
      </w:r>
    </w:p>
    <w:p w14:paraId="0BCC7899">
      <w:pPr>
        <w:pStyle w:val="65"/>
        <w:widowControl w:val="0"/>
        <w:numPr>
          <w:ilvl w:val="1"/>
          <w:numId w:val="8"/>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F9A6EAE">
      <w:pPr>
        <w:widowControl w:val="0"/>
        <w:spacing w:before="120" w:after="120" w:line="240" w:lineRule="auto"/>
        <w:ind w:right="-1"/>
        <w:rPr>
          <w:rFonts w:cstheme="minorHAnsi"/>
          <w:b/>
          <w:u w:val="single"/>
        </w:rPr>
      </w:pPr>
      <w:r>
        <w:rPr>
          <w:rFonts w:cstheme="minorHAnsi"/>
          <w:b/>
          <w:u w:val="single"/>
        </w:rPr>
        <w:t>Garantia da contratação</w:t>
      </w:r>
    </w:p>
    <w:p w14:paraId="15D7EFEB">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 7 do ETP.</w:t>
      </w:r>
    </w:p>
    <w:p w14:paraId="1661F6DD">
      <w:pPr>
        <w:pStyle w:val="65"/>
        <w:widowControl w:val="0"/>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4581A564">
      <w:pPr>
        <w:pStyle w:val="65"/>
        <w:widowControl w:val="0"/>
        <w:numPr>
          <w:ilvl w:val="1"/>
          <w:numId w:val="8"/>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No presente certame não será realizada a reserva cota de 25%(vinte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EE0000"/>
          <w:sz w:val="22"/>
          <w:szCs w:val="22"/>
        </w:rPr>
        <w:t>do Estudo Técnico preliminar, parte integrante deste termo.</w:t>
      </w:r>
    </w:p>
    <w:p w14:paraId="357135EF">
      <w:pPr>
        <w:pStyle w:val="65"/>
        <w:widowControl w:val="0"/>
        <w:numPr>
          <w:ilvl w:val="1"/>
          <w:numId w:val="8"/>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27CA433">
      <w:pPr>
        <w:pStyle w:val="65"/>
        <w:widowControl w:val="0"/>
        <w:numPr>
          <w:ilvl w:val="1"/>
          <w:numId w:val="8"/>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Por determinação do Hospital Ana Nery, documento anexo aos autos e conforme </w:t>
      </w:r>
      <w:r>
        <w:rPr>
          <w:rFonts w:asciiTheme="minorHAnsi" w:hAnsiTheme="minorHAnsi" w:cstheme="minorHAnsi"/>
          <w:color w:val="0070C0"/>
          <w:sz w:val="22"/>
          <w:szCs w:val="22"/>
        </w:rPr>
        <w:t xml:space="preserve">tópico “5” </w:t>
      </w:r>
      <w:r>
        <w:rPr>
          <w:rFonts w:asciiTheme="minorHAnsi" w:hAnsiTheme="minorHAnsi" w:cstheme="minorHAnsi"/>
          <w:color w:val="FF0000"/>
          <w:sz w:val="22"/>
          <w:szCs w:val="22"/>
        </w:rPr>
        <w:t>do Estudo Técnico Preliminar, não será aplicado o critério de exclusividade, em atendimento ao Art. 49, III da Lei Complementar nº 123, de 2006, in verbis:</w:t>
      </w:r>
    </w:p>
    <w:p w14:paraId="69B27F59">
      <w:pPr>
        <w:pStyle w:val="65"/>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Fonts w:asciiTheme="minorHAnsi" w:hAnsiTheme="minorHAnsi" w:cstheme="minorHAnsi"/>
          <w:color w:val="FF0000"/>
          <w:sz w:val="22"/>
          <w:szCs w:val="22"/>
        </w:rPr>
        <w:t>arts. 47 e 48 desta Lei Complementar</w:t>
      </w:r>
      <w:r>
        <w:rPr>
          <w:rFonts w:asciiTheme="minorHAnsi" w:hAnsiTheme="minorHAnsi" w:cstheme="minorHAnsi"/>
          <w:color w:val="FF0000"/>
          <w:sz w:val="22"/>
          <w:szCs w:val="22"/>
        </w:rPr>
        <w:fldChar w:fldCharType="end"/>
      </w:r>
      <w:r>
        <w:rPr>
          <w:rFonts w:asciiTheme="minorHAnsi" w:hAnsiTheme="minorHAnsi" w:cstheme="minorHAnsi"/>
          <w:color w:val="FF0000"/>
          <w:sz w:val="22"/>
          <w:szCs w:val="22"/>
        </w:rPr>
        <w:t> quando:</w:t>
      </w:r>
    </w:p>
    <w:p w14:paraId="1E0C0CF1">
      <w:pPr>
        <w:pStyle w:val="65"/>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560FB046">
      <w:pPr>
        <w:pStyle w:val="65"/>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4763BC29">
      <w:pPr>
        <w:pStyle w:val="87"/>
        <w:numPr>
          <w:ilvl w:val="0"/>
          <w:numId w:val="8"/>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2219FF45">
      <w:pPr>
        <w:pStyle w:val="131"/>
        <w:rPr>
          <w:rFonts w:asciiTheme="minorHAnsi" w:hAnsiTheme="minorHAnsi" w:cstheme="minorHAnsi"/>
          <w:sz w:val="22"/>
          <w:szCs w:val="22"/>
        </w:rPr>
      </w:pPr>
      <w:r>
        <w:rPr>
          <w:rFonts w:asciiTheme="minorHAnsi" w:hAnsiTheme="minorHAnsi" w:cstheme="minorHAnsi"/>
          <w:sz w:val="22"/>
          <w:szCs w:val="22"/>
        </w:rPr>
        <w:t>Condições de Entrega</w:t>
      </w:r>
    </w:p>
    <w:p w14:paraId="53BB1AC0">
      <w:pPr>
        <w:pStyle w:val="65"/>
        <w:widowControl w:val="0"/>
        <w:numPr>
          <w:ilvl w:val="1"/>
          <w:numId w:val="8"/>
        </w:numPr>
        <w:spacing w:before="120" w:after="120"/>
        <w:ind w:left="0" w:right="-1"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iCs/>
          <w:color w:val="000000" w:themeColor="text1"/>
          <w:sz w:val="22"/>
          <w:szCs w:val="22"/>
          <w14:textFill>
            <w14:solidFill>
              <w14:schemeClr w14:val="tx1"/>
            </w14:solidFill>
          </w14:textFill>
        </w:rPr>
        <w:t>A entrega dos m</w:t>
      </w:r>
      <w:r>
        <w:rPr>
          <w:rFonts w:asciiTheme="minorHAnsi" w:hAnsiTheme="minorHAnsi" w:cstheme="minorHAnsi"/>
          <w:color w:val="000000" w:themeColor="text1"/>
          <w:sz w:val="22"/>
          <w:szCs w:val="22"/>
          <w14:textFill>
            <w14:solidFill>
              <w14:schemeClr w14:val="tx1"/>
            </w14:solidFill>
          </w14:textFill>
        </w:rPr>
        <w:t>ateriais de consumo médico-hospitalar</w:t>
      </w:r>
      <w:r>
        <w:rPr>
          <w:rFonts w:asciiTheme="minorHAnsi" w:hAnsiTheme="minorHAnsi" w:cstheme="minorHAnsi"/>
          <w:iCs/>
          <w:color w:val="000000" w:themeColor="text1"/>
          <w:sz w:val="22"/>
          <w:szCs w:val="22"/>
          <w14:textFill>
            <w14:solidFill>
              <w14:schemeClr w14:val="tx1"/>
            </w14:solidFill>
          </w14:textFill>
        </w:rPr>
        <w:t xml:space="preserve"> deverá ser realizada, no endereço constante na tabela abaixo, </w:t>
      </w:r>
      <w:r>
        <w:rPr>
          <w:rFonts w:asciiTheme="minorHAnsi" w:hAnsiTheme="minorHAnsi" w:cstheme="minorHAnsi"/>
          <w:color w:val="000000" w:themeColor="text1"/>
          <w:sz w:val="22"/>
          <w:szCs w:val="22"/>
          <w14:textFill>
            <w14:solidFill>
              <w14:schemeClr w14:val="tx1"/>
            </w14:solidFill>
          </w14:textFill>
        </w:rPr>
        <w:t xml:space="preserve">das </w:t>
      </w:r>
      <w:r>
        <w:rPr>
          <w:rFonts w:asciiTheme="minorHAnsi" w:hAnsiTheme="minorHAnsi" w:cstheme="minorHAnsi"/>
          <w:bCs/>
          <w:color w:val="000000" w:themeColor="text1"/>
          <w:sz w:val="22"/>
          <w:szCs w:val="22"/>
          <w14:textFill>
            <w14:solidFill>
              <w14:schemeClr w14:val="tx1"/>
            </w14:solidFill>
          </w14:textFill>
        </w:rPr>
        <w:t>08h00 às 16h00</w:t>
      </w:r>
      <w:r>
        <w:rPr>
          <w:rFonts w:asciiTheme="minorHAnsi" w:hAnsiTheme="minorHAnsi" w:cstheme="minorHAnsi"/>
          <w:color w:val="000000" w:themeColor="text1"/>
          <w:sz w:val="22"/>
          <w:szCs w:val="22"/>
          <w14:textFill>
            <w14:solidFill>
              <w14:schemeClr w14:val="tx1"/>
            </w14:solidFill>
          </w14:textFill>
        </w:rPr>
        <w:t>. nos dias úteis.</w:t>
      </w:r>
    </w:p>
    <w:p w14:paraId="15E76D92">
      <w:pPr>
        <w:pStyle w:val="65"/>
        <w:widowControl w:val="0"/>
        <w:numPr>
          <w:ilvl w:val="1"/>
          <w:numId w:val="8"/>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Os bens deverão ser entregues no seguinte endereço:</w:t>
      </w:r>
    </w:p>
    <w:tbl>
      <w:tblPr>
        <w:tblStyle w:val="39"/>
        <w:tblW w:w="8788"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6237"/>
      </w:tblGrid>
      <w:tr w14:paraId="5286C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4FE4B8EE">
            <w:pPr>
              <w:pStyle w:val="65"/>
              <w:widowControl w:val="0"/>
              <w:spacing w:before="120" w:after="120"/>
              <w:ind w:left="0" w:right="-1"/>
              <w:contextualSpacing w:val="0"/>
              <w:jc w:val="both"/>
              <w:rPr>
                <w:rFonts w:asciiTheme="minorHAnsi" w:hAnsiTheme="minorHAnsi" w:cstheme="minorHAnsi"/>
                <w:color w:val="FF0000"/>
                <w:sz w:val="22"/>
                <w:szCs w:val="22"/>
              </w:rPr>
            </w:pPr>
            <w:r>
              <w:rPr>
                <w:rFonts w:eastAsia="Calibri" w:asciiTheme="minorHAnsi" w:hAnsiTheme="minorHAnsi" w:cstheme="minorHAnsi"/>
                <w:color w:val="FF0000"/>
                <w:sz w:val="22"/>
                <w:szCs w:val="22"/>
              </w:rPr>
              <w:t>Hospital Ana Nery</w:t>
            </w:r>
          </w:p>
        </w:tc>
        <w:tc>
          <w:tcPr>
            <w:tcW w:w="6237" w:type="dxa"/>
          </w:tcPr>
          <w:p w14:paraId="5164D32F">
            <w:pPr>
              <w:pStyle w:val="65"/>
              <w:widowControl w:val="0"/>
              <w:spacing w:before="120" w:after="120"/>
              <w:ind w:left="0" w:right="-1"/>
              <w:contextualSpacing w:val="0"/>
              <w:jc w:val="both"/>
              <w:rPr>
                <w:rFonts w:asciiTheme="minorHAnsi" w:hAnsiTheme="minorHAnsi" w:cstheme="minorHAnsi"/>
                <w:color w:val="FF0000"/>
                <w:sz w:val="22"/>
                <w:szCs w:val="22"/>
              </w:rPr>
            </w:pPr>
            <w:r>
              <w:rPr>
                <w:rFonts w:eastAsia="Calibri" w:asciiTheme="minorHAnsi" w:hAnsiTheme="minorHAnsi" w:cstheme="minorHAnsi"/>
                <w:color w:val="FF0000"/>
                <w:sz w:val="22"/>
                <w:szCs w:val="22"/>
              </w:rPr>
              <w:t>Almoxarifado Central do Hospital Ana Nery - HAN, sito à Rua Saldanha Marinho, s/n, Caixa D’ Água, Salvador. CEP 40.323-010.</w:t>
            </w:r>
          </w:p>
        </w:tc>
      </w:tr>
    </w:tbl>
    <w:p w14:paraId="7F2A57D9">
      <w:pPr>
        <w:pStyle w:val="65"/>
        <w:widowControl w:val="0"/>
        <w:numPr>
          <w:ilvl w:val="1"/>
          <w:numId w:val="8"/>
        </w:numPr>
        <w:spacing w:before="120" w:after="120"/>
        <w:ind w:left="0" w:right="-1"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94" w:name="_Hlk216937295"/>
      <w:r>
        <w:rPr>
          <w:rFonts w:asciiTheme="minorHAnsi" w:hAnsiTheme="minorHAnsi" w:cstheme="minorHAnsi"/>
          <w:color w:val="000000" w:themeColor="text1"/>
          <w:sz w:val="22"/>
          <w:szCs w:val="22"/>
          <w14:textFill>
            <w14:solidFill>
              <w14:schemeClr w14:val="tx1"/>
            </w14:solidFill>
          </w14:textFill>
        </w:rPr>
        <w:t xml:space="preserve">A entrega dos </w:t>
      </w:r>
      <w:bookmarkStart w:id="95" w:name="_Hlk216860171"/>
      <w:r>
        <w:rPr>
          <w:rFonts w:asciiTheme="minorHAnsi" w:hAnsiTheme="minorHAnsi" w:cstheme="minorHAnsi"/>
          <w:color w:val="000000" w:themeColor="text1"/>
          <w:sz w:val="22"/>
          <w:szCs w:val="22"/>
          <w14:textFill>
            <w14:solidFill>
              <w14:schemeClr w14:val="tx1"/>
            </w14:solidFill>
          </w14:textFill>
        </w:rPr>
        <w:t>materiais de consumo médico-hospitalar</w:t>
      </w:r>
      <w:r>
        <w:rPr>
          <w:rFonts w:asciiTheme="minorHAnsi" w:hAnsiTheme="minorHAnsi" w:cstheme="minorHAnsi"/>
          <w:bCs/>
          <w:color w:val="000000" w:themeColor="text1"/>
          <w:sz w:val="22"/>
          <w:szCs w:val="22"/>
          <w14:textFill>
            <w14:solidFill>
              <w14:schemeClr w14:val="tx1"/>
            </w14:solidFill>
          </w14:textFill>
        </w:rPr>
        <w:t xml:space="preserve"> </w:t>
      </w:r>
      <w:bookmarkEnd w:id="95"/>
      <w:r>
        <w:rPr>
          <w:rFonts w:asciiTheme="minorHAnsi" w:hAnsiTheme="minorHAnsi" w:cstheme="minorHAnsi"/>
          <w:color w:val="000000" w:themeColor="text1"/>
          <w:sz w:val="22"/>
          <w:szCs w:val="22"/>
          <w14:textFill>
            <w14:solidFill>
              <w14:schemeClr w14:val="tx1"/>
            </w14:solidFill>
          </w14:textFill>
        </w:rPr>
        <w:t xml:space="preserve">deverá ser realizada em até </w:t>
      </w:r>
      <w:r>
        <w:rPr>
          <w:rFonts w:asciiTheme="minorHAnsi" w:hAnsiTheme="minorHAnsi" w:cstheme="minorHAnsi"/>
          <w:color w:val="0070C0"/>
          <w:sz w:val="22"/>
          <w:szCs w:val="22"/>
        </w:rPr>
        <w:t>15 (quinze) dias corridos</w:t>
      </w:r>
      <w:r>
        <w:rPr>
          <w:rFonts w:asciiTheme="minorHAnsi" w:hAnsiTheme="minorHAnsi" w:cstheme="minorHAnsi"/>
          <w:color w:val="000000" w:themeColor="text1"/>
          <w:sz w:val="22"/>
          <w:szCs w:val="22"/>
          <w14:textFill>
            <w14:solidFill>
              <w14:schemeClr w14:val="tx1"/>
            </w14:solidFill>
          </w14:textFill>
        </w:rPr>
        <w:t>, a partir do recebimento da Nota de Empenho ou documento equivalente pelo CONTRATADO</w:t>
      </w:r>
      <w:r>
        <w:rPr>
          <w:rFonts w:asciiTheme="minorHAnsi" w:hAnsiTheme="minorHAnsi" w:cstheme="minorHAnsi"/>
          <w:color w:val="0070C0"/>
          <w:sz w:val="22"/>
          <w:szCs w:val="22"/>
        </w:rPr>
        <w:t>.(Tópico 15 ETP).</w:t>
      </w:r>
    </w:p>
    <w:bookmarkEnd w:id="94"/>
    <w:p w14:paraId="15521F5C">
      <w:pPr>
        <w:pStyle w:val="65"/>
        <w:numPr>
          <w:ilvl w:val="1"/>
          <w:numId w:val="8"/>
        </w:numPr>
        <w:spacing w:before="120" w:after="120"/>
        <w:ind w:left="0" w:firstLine="0"/>
        <w:contextualSpacing w:val="0"/>
        <w:jc w:val="both"/>
        <w:rPr>
          <w:rFonts w:asciiTheme="minorHAnsi" w:hAnsiTheme="minorHAnsi" w:cstheme="minorHAnsi"/>
          <w:color w:val="FF0000"/>
          <w:sz w:val="22"/>
          <w:szCs w:val="22"/>
        </w:rPr>
      </w:pPr>
      <w:bookmarkStart w:id="96" w:name="_Hlk216938199"/>
      <w:r>
        <w:rPr>
          <w:rFonts w:asciiTheme="minorHAnsi" w:hAnsiTheme="minorHAnsi" w:cstheme="minorHAnsi"/>
          <w:color w:val="FF0000"/>
          <w:sz w:val="22"/>
          <w:szCs w:val="22"/>
        </w:rPr>
        <w:t>O entrega dos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color w:val="FF0000"/>
          <w:sz w:val="22"/>
          <w:szCs w:val="22"/>
        </w:rPr>
        <w:t>correrá de forma parcelada, conforme demanda do Hospital Ana Nery.</w:t>
      </w:r>
    </w:p>
    <w:bookmarkEnd w:id="96"/>
    <w:p w14:paraId="2A6DFF2E">
      <w:pPr>
        <w:spacing w:before="120" w:after="120"/>
        <w:jc w:val="both"/>
        <w:rPr>
          <w:rFonts w:cstheme="minorHAnsi"/>
          <w:color w:val="FF0000"/>
        </w:rPr>
      </w:pPr>
      <w:r>
        <w:rPr>
          <w:rFonts w:cstheme="minorHAnsi"/>
          <w:color w:val="000000" w:themeColor="text1"/>
          <w14:textFill>
            <w14:solidFill>
              <w14:schemeClr w14:val="tx1"/>
            </w14:solidFill>
          </w14:textFill>
        </w:rPr>
        <w:t>5.3.1</w:t>
      </w:r>
      <w:bookmarkStart w:id="97" w:name="_Hlk216937670"/>
      <w:r>
        <w:rPr>
          <w:rFonts w:cstheme="minorHAnsi"/>
          <w:color w:val="000000" w:themeColor="text1"/>
          <w14:textFill>
            <w14:solidFill>
              <w14:schemeClr w14:val="tx1"/>
            </w14:solidFill>
          </w14:textFill>
        </w:rPr>
        <w:t xml:space="preserve">. </w:t>
      </w:r>
      <w:r>
        <w:rPr>
          <w:rFonts w:cstheme="minorHAnsi"/>
          <w:color w:val="FF0000"/>
        </w:rPr>
        <w:t>As entregas dos m</w:t>
      </w:r>
      <w:r>
        <w:rPr>
          <w:rFonts w:cstheme="minorHAnsi"/>
          <w:color w:val="EE0000"/>
        </w:rPr>
        <w:t>ateriais de consumo médico-hospitalar</w:t>
      </w:r>
      <w:r>
        <w:rPr>
          <w:rFonts w:cstheme="minorHAnsi"/>
          <w:bCs/>
          <w:color w:val="EE0000"/>
        </w:rPr>
        <w:t xml:space="preserve"> </w:t>
      </w:r>
      <w:r>
        <w:rPr>
          <w:rFonts w:cstheme="minorHAnsi"/>
          <w:color w:val="FF0000"/>
        </w:rPr>
        <w:t>correrão por conta do Fornecedor, sem gerar quaisquer ônus para o Hospital Ana Nery, e será solicitada mediante emissão de nota de empenho</w:t>
      </w:r>
      <w:bookmarkEnd w:id="97"/>
      <w:r>
        <w:rPr>
          <w:rFonts w:cstheme="minorHAnsi"/>
          <w:color w:val="FF0000"/>
        </w:rPr>
        <w:t>.</w:t>
      </w:r>
    </w:p>
    <w:p w14:paraId="6680AB77">
      <w:pPr>
        <w:pStyle w:val="65"/>
        <w:widowControl w:val="0"/>
        <w:numPr>
          <w:ilvl w:val="1"/>
          <w:numId w:val="8"/>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30E4A8FF">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bookmarkStart w:id="98" w:name="_Hlk216791317"/>
      <w:r>
        <w:rPr>
          <w:rFonts w:asciiTheme="minorHAnsi" w:hAnsiTheme="minorHAnsi" w:cstheme="minorHAnsi"/>
          <w:bCs/>
          <w:color w:val="FF0000"/>
          <w:sz w:val="22"/>
          <w:szCs w:val="22"/>
        </w:rPr>
        <w:t xml:space="preserve">O Fornecedor deverá fornecer os </w:t>
      </w:r>
      <w:r>
        <w:rPr>
          <w:rFonts w:asciiTheme="minorHAnsi" w:hAnsiTheme="minorHAnsi" w:cstheme="minorHAnsi"/>
          <w:color w:val="FF0000"/>
          <w:sz w:val="22"/>
          <w:szCs w:val="22"/>
        </w:rPr>
        <w:t>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bCs/>
          <w:color w:val="FF0000"/>
          <w:sz w:val="22"/>
          <w:szCs w:val="22"/>
        </w:rPr>
        <w:t>em perfeitas condições de uso, visando manter a continuidade dos serviços prestados pelo Hospital Ana Nery, e, substitui-los em caso de não conformidade com o objeto licitado.</w:t>
      </w:r>
    </w:p>
    <w:bookmarkEnd w:id="98"/>
    <w:p w14:paraId="24809CA7">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Fornecedor sempre que necessário, deverá esclarecer dúvidas técnicas quanto aos </w:t>
      </w:r>
      <w:r>
        <w:rPr>
          <w:rFonts w:asciiTheme="minorHAnsi" w:hAnsiTheme="minorHAnsi" w:cstheme="minorHAnsi"/>
          <w:color w:val="FF0000"/>
          <w:sz w:val="22"/>
          <w:szCs w:val="22"/>
        </w:rPr>
        <w:t>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bCs/>
          <w:color w:val="FF0000"/>
          <w:sz w:val="22"/>
          <w:szCs w:val="22"/>
        </w:rPr>
        <w:t>fornecidos</w:t>
      </w:r>
    </w:p>
    <w:p w14:paraId="467C22B9">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método de embalagem deverá ser tal que garanta a proteção adequada ao fornecimento durante o transporte. Cada embalagem deverá estar devidamente protegida e acompanhar lista indicando seu conteúdo.</w:t>
      </w:r>
    </w:p>
    <w:p w14:paraId="2D09A7E3">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Pr>
          <w:rFonts w:asciiTheme="minorHAnsi" w:hAnsiTheme="minorHAnsi" w:cstheme="minorHAnsi"/>
          <w:bCs/>
          <w:color w:val="0070C0"/>
          <w:sz w:val="22"/>
          <w:szCs w:val="22"/>
        </w:rPr>
        <w:t>(Tópico 15 ETP)</w:t>
      </w:r>
    </w:p>
    <w:p w14:paraId="2A60143F">
      <w:pPr>
        <w:suppressAutoHyphens/>
        <w:spacing w:before="120" w:after="120"/>
        <w:jc w:val="both"/>
        <w:rPr>
          <w:rFonts w:cstheme="minorHAnsi"/>
          <w:b/>
          <w:color w:val="FF0000"/>
          <w:u w:val="single"/>
        </w:rPr>
      </w:pPr>
      <w:r>
        <w:rPr>
          <w:rFonts w:cstheme="minorHAnsi"/>
          <w:b/>
          <w:color w:val="FF0000"/>
          <w:u w:val="single"/>
        </w:rPr>
        <w:t>DAS ESPECIFICAÇÕES PARA AQUISIÇÃO DOSITENS DE 01 AOS 11:</w:t>
      </w:r>
    </w:p>
    <w:p w14:paraId="7C8EBA47">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Os fios ofertados deverão apresentar qualidade equivalente ou similar à marca Johnson &amp; Johnson, em observância ao entendimento consolidado no Acórdão nº 2.300/2007 do Tribunal de Contas da União, que admite a indicação de marca como referência de qualidade, desde que acompanhada da expressão “ou equivalente”. A especificação deverá estar em conformidade com a Norma Associação Brasileira de Normas Técnicas – NBR 13904.</w:t>
      </w:r>
    </w:p>
    <w:p w14:paraId="7FF318F7">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campo “resumo” e as “características adicionais” relativas à variação no comprimento do fio e da agulha foram inseridos com o objetivo de ampliar a competitividade e assegurar maior participação de licitantes, considerando a diversidade de padronizações existentes no mercado. A medida observa os princípios da isonomia e da competitividade previstos na Instrução Normativa SLTI/MPOG nº 01/2010, que dispõe sobre critérios de sustentabilidade ambiental nas aquisições públicas.</w:t>
      </w:r>
    </w:p>
    <w:p w14:paraId="05C31454">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Para fins de habilitação, o licitante deverá apresentar Certificado de Análise emitido pelo Instituto Nacional de Metrologia, Qualidade e Tecnologia (INMETRO) ou por organismo oficialmente credenciado, comprovando conformidade com a Norma Associação Brasileira de Normas Técnicas – NBR 13904, de 30 de junho de 2003.</w:t>
      </w:r>
    </w:p>
    <w:p w14:paraId="7C969B16">
      <w:pPr>
        <w:pStyle w:val="65"/>
        <w:widowControl w:val="0"/>
        <w:spacing w:before="120" w:after="120"/>
        <w:ind w:left="0" w:right="-1"/>
        <w:contextualSpacing w:val="0"/>
        <w:jc w:val="both"/>
        <w:rPr>
          <w:rFonts w:asciiTheme="minorHAnsi" w:hAnsiTheme="minorHAnsi" w:cstheme="minorHAnsi"/>
          <w:b/>
          <w:bCs/>
          <w:color w:val="FF0000"/>
          <w:sz w:val="22"/>
          <w:szCs w:val="22"/>
        </w:rPr>
      </w:pPr>
      <w:r>
        <w:rPr>
          <w:rFonts w:asciiTheme="minorHAnsi" w:hAnsiTheme="minorHAnsi" w:cstheme="minorHAnsi"/>
          <w:b/>
          <w:bCs/>
          <w:color w:val="FF0000"/>
          <w:sz w:val="22"/>
          <w:szCs w:val="22"/>
        </w:rPr>
        <w:t>Comprovação de Regularidade Sanitária e Documental:</w:t>
      </w:r>
    </w:p>
    <w:p w14:paraId="1975E73D">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Deverá ser apresentada comprovação do registro do produto, da notificação ou da dispensa de registro junto ao Agência Nacional de Vigilância Sanitária (ANVISA), vinculada ao Ministério da Saúde, constando obrigatoriamente a validade (dia/mês/ano), mediante:</w:t>
      </w:r>
    </w:p>
    <w:p w14:paraId="613EB32E">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Cópia autenticada do registro publicado no Diário Oficial da União (D.O.U.), com destaque do número correspondente a cada item cotado, ou cópia emitida eletronicamente por meio do sítio oficial da ANVISA.</w:t>
      </w:r>
    </w:p>
    <w:p w14:paraId="50094060">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 Caso o registro esteja vencido, deverá ser apresentada cópia autenticada e legível do protocolo de solicitação de revalidação, acompanhada da cópia do registro expirado, desde que a revalidação tenha sido requerida no primeiro semestre do último ano do quinquênio de validade, nos termos do § 6º do art. 12 da Lei nº 6.360/1976. A ausência do registro válido ou do respectivo protocolo implicará na desclassificação do item.</w:t>
      </w:r>
    </w:p>
    <w:p w14:paraId="4516B8D5">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Quando aplicável, deverá ser apresentada cópia da Declaração de Notificação ou do Certificado de Dispensa de Registro emitido pela ANVISA.</w:t>
      </w:r>
    </w:p>
    <w:p w14:paraId="65BD2A8A">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Caberá ao proponente comprovar, mediante documentação técnica pertinente, que o produto objeto da licitação não está sujeito ao regime de Vigilância Sanitária.</w:t>
      </w:r>
    </w:p>
    <w:p w14:paraId="495D7AB7">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Todos os comprovantes de registro, notificação ou dispensa deverão estar identificados com o número do item correspondente, em ordem crescente, para fins de facilitar a análise e julgamento.</w:t>
      </w:r>
    </w:p>
    <w:p w14:paraId="1BA575A8">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Deverá ser apresentado Certificado de Análise (Laudo) emitido por laboratório credenciado junto ao Instituto Nacional de Metrologia, Qualidade e Tecnologia (INMETRO), comprovando atendimento às exigências da Norma Associação Brasileira de Normas Técnicas – NBR 13904:2003 – Fios para Sutura Cirúrgica, demonstrando que a análise foi realizada para cada matéria-prima utilizada na fabricação dos fios.</w:t>
      </w:r>
    </w:p>
    <w:p w14:paraId="260A5A76">
      <w:pPr>
        <w:pStyle w:val="65"/>
        <w:widowControl w:val="0"/>
        <w:spacing w:before="120" w:after="120"/>
        <w:ind w:left="0" w:right="-1"/>
        <w:contextualSpacing w:val="0"/>
        <w:jc w:val="both"/>
        <w:rPr>
          <w:rFonts w:asciiTheme="minorHAnsi" w:hAnsiTheme="minorHAnsi" w:cstheme="minorHAnsi"/>
          <w:b/>
          <w:bCs/>
          <w:color w:val="FF0000"/>
          <w:sz w:val="22"/>
          <w:szCs w:val="22"/>
        </w:rPr>
      </w:pPr>
      <w:r>
        <w:rPr>
          <w:rFonts w:asciiTheme="minorHAnsi" w:hAnsiTheme="minorHAnsi" w:cstheme="minorHAnsi"/>
          <w:b/>
          <w:bCs/>
          <w:color w:val="FF0000"/>
          <w:sz w:val="22"/>
          <w:szCs w:val="22"/>
        </w:rPr>
        <w:t>Conformidade Técnica com Normas ABNT – Fios de Sutura</w:t>
      </w:r>
    </w:p>
    <w:p w14:paraId="0688A541">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Os produtos ofertados deverão estar em conformidade com as normas vigentes da Associação Brasileira de Normas Técnicas (ABNT), especialmente a NBR 13904:2003, aplicável a fios para sutura cirúrgica.</w:t>
      </w:r>
    </w:p>
    <w:p w14:paraId="67391DB2">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embalagem secundária deverá conter, no mínimo: nome do produto, composição, diâmetro e comprimento do fio, indicação de presença de agulha, tipo, círculo e comprimento da agulha, nome do fabricante, datas de fabricação e validade, número do lote, número do registro no Ministério da Saúde, desenho compatível do tipo de agulha, identificação do farmacêutico responsável, condições de armazenamento e método de esterilização, devendo apresentar sistema de abertura fácil e segura.</w:t>
      </w:r>
    </w:p>
    <w:p w14:paraId="5F270B2A">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embalagem primária deverá ser confeccionada em papel grau cirúrgico e filme plástico ou, quando aplicável, em papel alumínio, contendo número de lote, data de fabricação, validade, selagem íntegra que permita abertura asséptica sem delaminação ou rasgos e possibilite a visualização do envelope interno.</w:t>
      </w:r>
    </w:p>
    <w:p w14:paraId="71FA63F8">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embalagem primária deverá conter desenho do tipo de agulha compatível com a agulha real, tipo e diâmetro do fio, comprimento do fio, número de fios por envelope, tipo, círculo e comprimento da agulha, além das datas de fabricação e validade. Deverá permitir fácil acesso do porta-agulha e adequada liberação do fio, sem comprometimento da integridade do envelope.</w:t>
      </w:r>
    </w:p>
    <w:p w14:paraId="2F489EBB">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Os fios deverão apresentar resistência compatível com sua especialidade cirúrgica, adequada resistência tênsil à tração de ruptura e manutenção da aproximação tecidual até, no mínimo, a fase proliferativa da cicatrização.</w:t>
      </w:r>
    </w:p>
    <w:p w14:paraId="63E93F47">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Deverão apresentar boa fixação e deslizamento do nó cirúrgico, assegurando estabilidade sem escorregamento, de modo a não comprometer a técnica operatória.</w:t>
      </w:r>
    </w:p>
    <w:p w14:paraId="7719DFBB">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coloração deverá ser compatível com a especificação do edital, garantindo adequada visualização no campo cirúrgico.</w:t>
      </w:r>
    </w:p>
    <w:p w14:paraId="64B75996">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Não poderão apresentar efeito memória que prejudique o manuseio ou favoreça emaranhamento.</w:t>
      </w:r>
    </w:p>
    <w:p w14:paraId="481CCDBB">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agulha deverá possuir encastoamento com resistência máxima e compatibilidade entre o diâmetro do fio e da agulha.</w:t>
      </w:r>
    </w:p>
    <w:p w14:paraId="09286BD8">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agulha traumática deverá manter o poder de corte até o término da sutura.</w:t>
      </w:r>
    </w:p>
    <w:p w14:paraId="5B33272D">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agulha atraumática deverá preservar a integridade da ponta até o final do uso.</w:t>
      </w:r>
    </w:p>
    <w:p w14:paraId="6935D7B7">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liga metálica da agulha deverá apresentar qualidade adequada, isenta de pontos de oxidação.</w:t>
      </w:r>
    </w:p>
    <w:p w14:paraId="3D8FA784">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agulha deverá apresentar flexibilidade, resistência mecânica e ductilidade compatíveis com os procedimentos cirúrgicos.</w:t>
      </w:r>
    </w:p>
    <w:p w14:paraId="23494008">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calibre da agulha deverá ser uniforme e compatível com o diâmetro do fio, evitando trauma tecidual e sangramento excessivo.</w:t>
      </w:r>
    </w:p>
    <w:p w14:paraId="77A30300">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Deverá haver absoluta conformidade entre as características físicas do produto e as informações constantes na embalagem quanto ao tipo, círculo e comprimento da agulha.</w:t>
      </w:r>
    </w:p>
    <w:p w14:paraId="53A0E190">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agulha deverá possuir corpo retangular que proporcione segurança na fixação do porta-agulha.</w:t>
      </w:r>
    </w:p>
    <w:p w14:paraId="66C55CF0">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Para fins de avaliação de amostra, será considerada aprovada a que demonstrar capacidade de penetração adequada nos tecidos, curvatura compatível com a finalidade, resistência a deformações ou fraturas, estabilidade no porta-agulha e fixação apropriada entre fio e agulha.</w:t>
      </w:r>
    </w:p>
    <w:p w14:paraId="4157E1FC">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Quanto às características físicas, mecânicas e de histocompatibilidade, os fios deverão: possuir o comprimento indicado em rótulo; apresentar flexibilidade adequada; evitar efeito memória excessivo; apresentar resistência ao meio biológico; permitir segurança no nó; manter retenção tecidual adequada; contribuir para hemostasia; induzir mínima reação tecidual; não provocar infecção; não possuir ação carcinogênica.</w:t>
      </w:r>
    </w:p>
    <w:p w14:paraId="307FEBA1">
      <w:pPr>
        <w:pStyle w:val="65"/>
        <w:widowControl w:val="0"/>
        <w:numPr>
          <w:ilvl w:val="1"/>
          <w:numId w:val="8"/>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No tocante às embalagens e instruções de uso, todos os produtos deverão atender às disposições da RDC nº 185/2001, que regulamenta o registro de produtos médicos no âmbito da ANVISA</w:t>
      </w:r>
    </w:p>
    <w:p w14:paraId="64D06E0D">
      <w:pPr>
        <w:pStyle w:val="65"/>
        <w:widowControl w:val="0"/>
        <w:spacing w:before="120" w:after="120"/>
        <w:ind w:left="0" w:right="-1"/>
        <w:contextualSpacing w:val="0"/>
        <w:jc w:val="both"/>
        <w:rPr>
          <w:rFonts w:asciiTheme="minorHAnsi" w:hAnsiTheme="minorHAnsi" w:cstheme="minorHAnsi"/>
          <w:b/>
          <w:color w:val="000000" w:themeColor="text1"/>
          <w:sz w:val="22"/>
          <w:szCs w:val="22"/>
          <w:u w:val="single"/>
          <w14:textFill>
            <w14:solidFill>
              <w14:schemeClr w14:val="tx1"/>
            </w14:solidFill>
          </w14:textFill>
        </w:rPr>
      </w:pPr>
      <w:bookmarkStart w:id="99" w:name="_Hlk216791902"/>
      <w:r>
        <w:rPr>
          <w:rFonts w:asciiTheme="minorHAnsi" w:hAnsiTheme="minorHAnsi" w:cstheme="minorHAnsi"/>
          <w:b/>
          <w:color w:val="000000" w:themeColor="text1"/>
          <w:sz w:val="22"/>
          <w:szCs w:val="22"/>
          <w:u w:val="single"/>
          <w14:textFill>
            <w14:solidFill>
              <w14:schemeClr w14:val="tx1"/>
            </w14:solidFill>
          </w14:textFill>
        </w:rPr>
        <w:t>Garantia, manutenção e assistência técnica</w:t>
      </w:r>
    </w:p>
    <w:bookmarkEnd w:id="99"/>
    <w:p w14:paraId="5C5ABE48">
      <w:pPr>
        <w:pStyle w:val="65"/>
        <w:widowControl w:val="0"/>
        <w:numPr>
          <w:ilvl w:val="1"/>
          <w:numId w:val="8"/>
        </w:numPr>
        <w:spacing w:before="120" w:after="120"/>
        <w:ind w:left="0" w:right="140" w:firstLine="0"/>
        <w:contextualSpacing w:val="0"/>
        <w:jc w:val="both"/>
        <w:rPr>
          <w:rFonts w:asciiTheme="minorHAnsi" w:hAnsiTheme="minorHAnsi" w:cstheme="minorHAnsi"/>
          <w:b/>
          <w:bCs/>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3CED7380">
      <w:pPr>
        <w:pStyle w:val="87"/>
        <w:numPr>
          <w:ilvl w:val="0"/>
          <w:numId w:val="8"/>
        </w:numPr>
        <w:shd w:val="clear" w:color="auto" w:fill="F1F1F1" w:themeFill="background1" w:themeFillShade="F2"/>
        <w:tabs>
          <w:tab w:val="left" w:pos="284"/>
        </w:tabs>
        <w:spacing w:before="120" w:after="120" w:line="240" w:lineRule="auto"/>
        <w:ind w:left="0" w:right="-1" w:firstLine="0"/>
        <w:rPr>
          <w:rFonts w:asciiTheme="minorHAnsi" w:hAnsiTheme="minorHAnsi" w:eastAsiaTheme="minorEastAsia" w:cstheme="minorHAnsi"/>
          <w:color w:val="auto"/>
          <w:sz w:val="22"/>
          <w:szCs w:val="22"/>
        </w:rPr>
      </w:pPr>
      <w:r>
        <w:rPr>
          <w:rFonts w:asciiTheme="minorHAnsi" w:hAnsiTheme="minorHAnsi" w:eastAsiaTheme="minorEastAsia" w:cstheme="minorHAnsi"/>
          <w:color w:val="auto"/>
          <w:sz w:val="22"/>
          <w:szCs w:val="22"/>
        </w:rPr>
        <w:t>MODELO DE GESTÃO DO CONTRATO</w:t>
      </w:r>
    </w:p>
    <w:p w14:paraId="5F6C32B0">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7B83E7F6">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A8D5D3A">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09B7120A">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2C2EC297">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D5EC8BB">
      <w:pPr>
        <w:pStyle w:val="159"/>
        <w:rPr>
          <w:rFonts w:asciiTheme="minorHAnsi" w:hAnsiTheme="minorHAnsi" w:cstheme="minorHAnsi"/>
          <w:sz w:val="22"/>
          <w:szCs w:val="22"/>
        </w:rPr>
      </w:pPr>
      <w:r>
        <w:rPr>
          <w:rFonts w:asciiTheme="minorHAnsi" w:hAnsiTheme="minorHAnsi" w:cstheme="minorHAnsi"/>
          <w:sz w:val="22"/>
          <w:szCs w:val="22"/>
        </w:rPr>
        <w:t>Fiscalização</w:t>
      </w:r>
    </w:p>
    <w:p w14:paraId="0435FC1A">
      <w:pPr>
        <w:pStyle w:val="65"/>
        <w:widowControl w:val="0"/>
        <w:numPr>
          <w:ilvl w:val="1"/>
          <w:numId w:val="8"/>
        </w:numPr>
        <w:tabs>
          <w:tab w:val="left" w:pos="426"/>
        </w:tabs>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117,caput, Decreto nº 11.246, de 2022, art. 8º).</w:t>
      </w:r>
    </w:p>
    <w:p w14:paraId="62738D1F">
      <w:pPr>
        <w:pStyle w:val="159"/>
        <w:rPr>
          <w:rFonts w:asciiTheme="minorHAnsi" w:hAnsiTheme="minorHAnsi" w:cstheme="minorHAnsi"/>
          <w:sz w:val="22"/>
          <w:szCs w:val="22"/>
        </w:rPr>
      </w:pPr>
      <w:r>
        <w:rPr>
          <w:rFonts w:asciiTheme="minorHAnsi" w:hAnsiTheme="minorHAnsi" w:cstheme="minorHAnsi"/>
          <w:sz w:val="22"/>
          <w:szCs w:val="22"/>
        </w:rPr>
        <w:t>Fiscalização Técnica</w:t>
      </w:r>
    </w:p>
    <w:p w14:paraId="7E944A9A">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3432D47B">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C7EC322">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1A330653">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5ABBB15F">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2E854B8F">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276474B6">
      <w:pPr>
        <w:pStyle w:val="159"/>
        <w:rPr>
          <w:rFonts w:asciiTheme="minorHAnsi" w:hAnsiTheme="minorHAnsi" w:cstheme="minorHAnsi"/>
          <w:sz w:val="22"/>
          <w:szCs w:val="22"/>
        </w:rPr>
      </w:pPr>
      <w:r>
        <w:rPr>
          <w:rFonts w:asciiTheme="minorHAnsi" w:hAnsiTheme="minorHAnsi" w:cstheme="minorHAnsi"/>
          <w:sz w:val="22"/>
          <w:szCs w:val="22"/>
        </w:rPr>
        <w:t>Fiscalização Administrativa</w:t>
      </w:r>
    </w:p>
    <w:p w14:paraId="39A91AA2">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21F1B99">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0076B32">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4AF8F77">
      <w:pPr>
        <w:pStyle w:val="159"/>
        <w:rPr>
          <w:rFonts w:asciiTheme="minorHAnsi" w:hAnsiTheme="minorHAnsi" w:cstheme="minorHAnsi"/>
          <w:sz w:val="22"/>
          <w:szCs w:val="22"/>
        </w:rPr>
      </w:pPr>
      <w:r>
        <w:rPr>
          <w:rFonts w:asciiTheme="minorHAnsi" w:hAnsiTheme="minorHAnsi" w:cstheme="minorHAnsi"/>
          <w:sz w:val="22"/>
          <w:szCs w:val="22"/>
        </w:rPr>
        <w:t>Gestor do Contrato</w:t>
      </w:r>
    </w:p>
    <w:p w14:paraId="07D4196B">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48B07DE5">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1BC6B0">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acompanhar os registros realizados pelos fiscais do contrato, de todas as ocorrências relacionadas à execução do contrato e as medidas adotadas, informando, se for o caso, à autoridade superior àquelas que ultrapassarem a sua competência.</w:t>
      </w:r>
    </w:p>
    <w:p w14:paraId="65544A12">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acompanhar a manutenção das condições de habilitação da contratada, para fins de empenho de despesa e pagamento, e anotará os problemas que obstem o fluxo normal da liquidação e do pagamento da despesa no relatório de riscos eventuais.</w:t>
      </w:r>
    </w:p>
    <w:p w14:paraId="1A9A2BA4">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4FA99F8">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0tomar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C518C0E">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elaborar relatório final com informações sobre a consecução dos objetivos que tenham justificado a contratação e eventuais condutas a serem adotadas para o aprimoramento das atividades da Administração.</w:t>
      </w:r>
    </w:p>
    <w:p w14:paraId="02787056">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enviar a documentação pertinente ao setor de contratos para a formalização dos procedimentos de liquidação e pagamento, no valor dimensionado pela fiscalização e gestão nos termos do contrato.</w:t>
      </w:r>
    </w:p>
    <w:p w14:paraId="602F74D5">
      <w:pPr>
        <w:pStyle w:val="87"/>
        <w:numPr>
          <w:ilvl w:val="0"/>
          <w:numId w:val="8"/>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5A2BD854">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bookmarkStart w:id="100" w:name="_Hlk216942621"/>
      <w:r>
        <w:rPr>
          <w:rFonts w:asciiTheme="minorHAnsi" w:hAnsiTheme="minorHAnsi" w:cstheme="minorHAnsi"/>
          <w:sz w:val="22"/>
          <w:szCs w:val="22"/>
        </w:rPr>
        <w:t xml:space="preserve">Comete infração administrativa, nos termos da lei, o licitante que, com dolo ou culpa: </w:t>
      </w:r>
    </w:p>
    <w:p w14:paraId="38E484BC">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7.1.1. der causa à inexecução parcial do contrato;</w:t>
      </w:r>
    </w:p>
    <w:p w14:paraId="549141F2">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7.1.2. der causa à inexecução parcial do contrato que cause grave dano à Administração ou ao funcionamento dos serviços públicos ou ao interesse coletivo;</w:t>
      </w:r>
    </w:p>
    <w:p w14:paraId="5561554F">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7.1.3. der causa à inexecução total do contrato;</w:t>
      </w:r>
    </w:p>
    <w:p w14:paraId="71F1B7CE">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7.1.4. ensejar o retardamento da execução ou da entrega do objeto da contratação sem motivo justificado;</w:t>
      </w:r>
    </w:p>
    <w:p w14:paraId="5745001F">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7.1.5. apresentar documentação falsa ou prestar declaração falsa durante a execução do contrato;</w:t>
      </w:r>
    </w:p>
    <w:p w14:paraId="793C68AE">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7.1.6. praticar ato fraudulento na execução do contrato;</w:t>
      </w:r>
    </w:p>
    <w:p w14:paraId="3A1839EE">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7.1.7. comportar-se de modo inidôneo ou cometer fraude de qualquer natureza;</w:t>
      </w:r>
    </w:p>
    <w:p w14:paraId="1128C81C">
      <w:pPr>
        <w:pStyle w:val="82"/>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7.1.8. praticar ato lesivo previsto no art. 5º da Lei nº 12.846, de 1º de agosto de 2013.</w:t>
      </w:r>
    </w:p>
    <w:p w14:paraId="622DFAB9">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34CD2B01">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Advertência, quando o Contratado der causa à inexecução parcial do contrato, sempre que não se justificar a imposição de penalidade mais grave;</w:t>
      </w:r>
    </w:p>
    <w:p w14:paraId="5CCF7904">
      <w:pPr>
        <w:pStyle w:val="52"/>
        <w:numPr>
          <w:ilvl w:val="2"/>
          <w:numId w:val="8"/>
        </w:numPr>
        <w:tabs>
          <w:tab w:val="clear" w:pos="360"/>
        </w:tabs>
        <w:spacing w:line="240" w:lineRule="auto"/>
        <w:ind w:left="0" w:right="-1" w:firstLine="0"/>
        <w:rPr>
          <w:rFonts w:asciiTheme="minorHAnsi" w:hAnsiTheme="minorHAnsi" w:cstheme="minorHAnsi"/>
        </w:rPr>
      </w:pPr>
      <w:bookmarkStart w:id="101" w:name="_Hlk218502640"/>
      <w:r>
        <w:rPr>
          <w:rFonts w:asciiTheme="minorHAnsi" w:hAnsiTheme="minorHAnsi" w:cstheme="minorHAnsi"/>
        </w:rPr>
        <w:t>Impedimento de licitar e contratar, quando praticadas as condutas descritas nos subitens 7.1.2, 7.1.3 e 7.1.4, acima, sempre que não se justificar a imposição de penalidade mais grave;</w:t>
      </w:r>
    </w:p>
    <w:bookmarkEnd w:id="101"/>
    <w:p w14:paraId="538908BD">
      <w:pPr>
        <w:pStyle w:val="52"/>
        <w:numPr>
          <w:ilvl w:val="2"/>
          <w:numId w:val="8"/>
        </w:numPr>
        <w:tabs>
          <w:tab w:val="clear" w:pos="360"/>
        </w:tabs>
        <w:spacing w:line="240" w:lineRule="auto"/>
        <w:ind w:left="0" w:right="-1" w:firstLine="0"/>
        <w:rPr>
          <w:rFonts w:asciiTheme="minorHAnsi" w:hAnsiTheme="minorHAnsi" w:cstheme="minorHAnsi"/>
        </w:rPr>
      </w:pPr>
      <w:bookmarkStart w:id="102" w:name="_Hlk218502662"/>
      <w:r>
        <w:rPr>
          <w:rFonts w:asciiTheme="minorHAnsi" w:hAnsiTheme="minorHAnsi" w:cstheme="minorHAnsi"/>
        </w:rPr>
        <w:t>Declaração de inidoneidade para licitar e contratar, quando praticadas as condutas descritas nos subitens 7.1.5, 7.1.6, 7.1.7 e 7.1.8, do subitem acima, bem como nos subitens 7.1.2, 7.1.3 e 7.1.4, que justifiquem a imposição de penalidade mais grave.</w:t>
      </w:r>
    </w:p>
    <w:bookmarkEnd w:id="102"/>
    <w:p w14:paraId="3B96BD77">
      <w:pPr>
        <w:pStyle w:val="65"/>
        <w:widowControl w:val="0"/>
        <w:numPr>
          <w:ilvl w:val="1"/>
          <w:numId w:val="8"/>
        </w:numPr>
        <w:spacing w:before="120" w:after="120"/>
        <w:ind w:left="0" w:right="-1" w:firstLine="0"/>
        <w:contextualSpacing w:val="0"/>
        <w:jc w:val="both"/>
        <w:rPr>
          <w:rFonts w:asciiTheme="minorHAnsi" w:hAnsiTheme="minorHAnsi" w:cstheme="minorHAnsi"/>
          <w:b/>
          <w:color w:val="000000" w:themeColor="text1"/>
          <w:sz w:val="22"/>
          <w:szCs w:val="22"/>
          <w14:textFill>
            <w14:solidFill>
              <w14:schemeClr w14:val="tx1"/>
            </w14:solidFill>
          </w14:textFill>
        </w:rPr>
      </w:pPr>
      <w:r>
        <w:rPr>
          <w:rFonts w:asciiTheme="minorHAnsi" w:hAnsiTheme="minorHAnsi" w:cstheme="minorHAnsi"/>
          <w:b/>
          <w:color w:val="000000" w:themeColor="text1"/>
          <w:sz w:val="22"/>
          <w:szCs w:val="22"/>
          <w14:textFill>
            <w14:solidFill>
              <w14:schemeClr w14:val="tx1"/>
            </w14:solidFill>
          </w14:textFill>
        </w:rPr>
        <w:t>Multa:</w:t>
      </w:r>
    </w:p>
    <w:p w14:paraId="22E580DB">
      <w:pPr>
        <w:pStyle w:val="52"/>
        <w:numPr>
          <w:ilvl w:val="2"/>
          <w:numId w:val="8"/>
        </w:numPr>
        <w:tabs>
          <w:tab w:val="clear" w:pos="360"/>
        </w:tabs>
        <w:spacing w:line="240" w:lineRule="auto"/>
        <w:ind w:left="0" w:right="-1" w:firstLine="0"/>
        <w:rPr>
          <w:rFonts w:asciiTheme="minorHAnsi" w:hAnsiTheme="minorHAnsi" w:cstheme="minorHAnsi"/>
        </w:rPr>
      </w:pPr>
      <w:bookmarkStart w:id="103" w:name="_Hlk218502681"/>
      <w:r>
        <w:rPr>
          <w:rFonts w:asciiTheme="minorHAnsi" w:hAnsiTheme="minorHAnsi" w:cstheme="minorHAnsi"/>
        </w:rPr>
        <w:t xml:space="preserve">Moratória, para as infrações descritas no subitem 7.1.4, de </w:t>
      </w:r>
      <w:r>
        <w:rPr>
          <w:rFonts w:asciiTheme="minorHAnsi" w:hAnsiTheme="minorHAnsi" w:cstheme="minorHAnsi"/>
          <w:color w:val="0070C0"/>
        </w:rPr>
        <w:t xml:space="preserve">0,5% a 30% </w:t>
      </w:r>
      <w:r>
        <w:rPr>
          <w:rFonts w:asciiTheme="minorHAnsi" w:hAnsiTheme="minorHAnsi" w:cstheme="minorHAnsi"/>
        </w:rPr>
        <w:t>por dia de atraso injustificado sobre o valor da parcela inadimplida, até o limite de 30 (trinta) dias;</w:t>
      </w:r>
    </w:p>
    <w:bookmarkEnd w:id="103"/>
    <w:p w14:paraId="3F636D16">
      <w:pPr>
        <w:pStyle w:val="52"/>
        <w:numPr>
          <w:ilvl w:val="2"/>
          <w:numId w:val="8"/>
        </w:numPr>
        <w:tabs>
          <w:tab w:val="clear" w:pos="360"/>
        </w:tabs>
        <w:spacing w:line="240" w:lineRule="auto"/>
        <w:ind w:left="0" w:right="-1" w:firstLine="0"/>
        <w:rPr>
          <w:rFonts w:asciiTheme="minorHAnsi" w:hAnsiTheme="minorHAnsi" w:cstheme="minorHAnsi"/>
        </w:rPr>
      </w:pPr>
      <w:bookmarkStart w:id="104" w:name="_Hlk218502697"/>
      <w:r>
        <w:rPr>
          <w:rFonts w:asciiTheme="minorHAnsi" w:hAnsiTheme="minorHAnsi" w:cstheme="minorHAnsi"/>
        </w:rPr>
        <w:t xml:space="preserve">Compensatória, para as infrações descritas nos subitens 7.1.5 a 7.1.8 de </w:t>
      </w:r>
      <w:r>
        <w:rPr>
          <w:rFonts w:asciiTheme="minorHAnsi" w:hAnsiTheme="minorHAnsi" w:cstheme="minorHAnsi"/>
          <w:color w:val="0070C0"/>
        </w:rPr>
        <w:t xml:space="preserve">0,5% a 30% </w:t>
      </w:r>
      <w:r>
        <w:rPr>
          <w:rFonts w:asciiTheme="minorHAnsi" w:hAnsiTheme="minorHAnsi" w:cstheme="minorHAnsi"/>
        </w:rPr>
        <w:t>do valor da contratação;</w:t>
      </w:r>
    </w:p>
    <w:bookmarkEnd w:id="104"/>
    <w:p w14:paraId="7CA44D66">
      <w:pPr>
        <w:pStyle w:val="52"/>
        <w:numPr>
          <w:ilvl w:val="2"/>
          <w:numId w:val="8"/>
        </w:numPr>
        <w:tabs>
          <w:tab w:val="clear" w:pos="360"/>
        </w:tabs>
        <w:spacing w:line="240" w:lineRule="auto"/>
        <w:ind w:left="0" w:right="-1" w:firstLine="0"/>
        <w:rPr>
          <w:rFonts w:asciiTheme="minorHAnsi" w:hAnsiTheme="minorHAnsi" w:cstheme="minorHAnsi"/>
        </w:rPr>
      </w:pPr>
      <w:bookmarkStart w:id="105" w:name="_Hlk218502779"/>
      <w:r>
        <w:rPr>
          <w:rFonts w:asciiTheme="minorHAnsi" w:hAnsiTheme="minorHAnsi" w:cstheme="minorHAnsi"/>
        </w:rPr>
        <w:t xml:space="preserve">Compensatória, para a inexecução total do contrato prevista no subitem 7.1.3, de </w:t>
      </w:r>
      <w:r>
        <w:rPr>
          <w:rFonts w:asciiTheme="minorHAnsi" w:hAnsiTheme="minorHAnsi" w:cstheme="minorHAnsi"/>
          <w:color w:val="0070C0"/>
        </w:rPr>
        <w:t xml:space="preserve">0,5% a 30% </w:t>
      </w:r>
      <w:r>
        <w:rPr>
          <w:rFonts w:asciiTheme="minorHAnsi" w:hAnsiTheme="minorHAnsi" w:cstheme="minorHAnsi"/>
        </w:rPr>
        <w:t>do valor da contratação;</w:t>
      </w:r>
    </w:p>
    <w:bookmarkEnd w:id="105"/>
    <w:p w14:paraId="7A98834A">
      <w:pPr>
        <w:pStyle w:val="52"/>
        <w:numPr>
          <w:ilvl w:val="2"/>
          <w:numId w:val="8"/>
        </w:numPr>
        <w:tabs>
          <w:tab w:val="clear" w:pos="360"/>
        </w:tabs>
        <w:spacing w:line="240" w:lineRule="auto"/>
        <w:ind w:left="0" w:right="-1" w:firstLine="0"/>
        <w:rPr>
          <w:rFonts w:asciiTheme="minorHAnsi" w:hAnsiTheme="minorHAnsi" w:cstheme="minorHAnsi"/>
        </w:rPr>
      </w:pPr>
      <w:bookmarkStart w:id="106" w:name="_Hlk218502794"/>
      <w:r>
        <w:rPr>
          <w:rFonts w:asciiTheme="minorHAnsi" w:hAnsiTheme="minorHAnsi" w:cstheme="minorHAnsi"/>
        </w:rPr>
        <w:t xml:space="preserve">Compensatória, para a infração descrita acima no subitem 7.1.2,  de </w:t>
      </w:r>
      <w:r>
        <w:rPr>
          <w:rFonts w:asciiTheme="minorHAnsi" w:hAnsiTheme="minorHAnsi" w:cstheme="minorHAnsi"/>
          <w:color w:val="0070C0"/>
        </w:rPr>
        <w:t xml:space="preserve">0,5% a 30% </w:t>
      </w:r>
      <w:r>
        <w:rPr>
          <w:rFonts w:asciiTheme="minorHAnsi" w:hAnsiTheme="minorHAnsi" w:cstheme="minorHAnsi"/>
        </w:rPr>
        <w:t>do valor da contratação;</w:t>
      </w:r>
    </w:p>
    <w:bookmarkEnd w:id="106"/>
    <w:p w14:paraId="07D96CA5">
      <w:pPr>
        <w:pStyle w:val="52"/>
        <w:numPr>
          <w:ilvl w:val="2"/>
          <w:numId w:val="8"/>
        </w:numPr>
        <w:tabs>
          <w:tab w:val="clear" w:pos="360"/>
        </w:tabs>
        <w:spacing w:line="240" w:lineRule="auto"/>
        <w:ind w:left="0" w:right="-1" w:firstLine="0"/>
        <w:rPr>
          <w:rFonts w:asciiTheme="minorHAnsi" w:hAnsiTheme="minorHAnsi" w:cstheme="minorHAnsi"/>
        </w:rPr>
      </w:pPr>
      <w:bookmarkStart w:id="107" w:name="_Hlk175669195"/>
      <w:r>
        <w:rPr>
          <w:rFonts w:asciiTheme="minorHAnsi" w:hAnsiTheme="minorHAnsi" w:cstheme="minorHAnsi"/>
        </w:rPr>
        <w:t xml:space="preserve">Compensatória, em substituição à multa moratória para a infração descrita no subitem 7.1.4, de </w:t>
      </w:r>
      <w:r>
        <w:rPr>
          <w:rFonts w:asciiTheme="minorHAnsi" w:hAnsiTheme="minorHAnsi" w:cstheme="minorHAnsi"/>
          <w:color w:val="0070C0"/>
        </w:rPr>
        <w:t xml:space="preserve">0,5% a 30% </w:t>
      </w:r>
      <w:r>
        <w:rPr>
          <w:rFonts w:asciiTheme="minorHAnsi" w:hAnsiTheme="minorHAnsi" w:cstheme="minorHAnsi"/>
        </w:rPr>
        <w:t>do valor da contratação;</w:t>
      </w:r>
    </w:p>
    <w:bookmarkEnd w:id="107"/>
    <w:p w14:paraId="409AA93D">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Compensatória, para a infração descrita no subitem 7.1.1, de </w:t>
      </w:r>
      <w:r>
        <w:rPr>
          <w:rFonts w:asciiTheme="minorHAnsi" w:hAnsiTheme="minorHAnsi" w:cstheme="minorHAnsi"/>
          <w:color w:val="0070C0"/>
        </w:rPr>
        <w:t xml:space="preserve">0,5% a 30% </w:t>
      </w:r>
      <w:r>
        <w:rPr>
          <w:rFonts w:asciiTheme="minorHAnsi" w:hAnsiTheme="minorHAnsi" w:cstheme="minorHAnsi"/>
        </w:rPr>
        <w:t>do valor da contratação.</w:t>
      </w:r>
    </w:p>
    <w:bookmarkEnd w:id="100"/>
    <w:p w14:paraId="3EF783DC">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733EBC13">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17F4D792">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Antes da aplicação da multa será facultada a defesa do interessado no prazo de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úteis, contado da data de sua intimação.</w:t>
      </w:r>
    </w:p>
    <w:p w14:paraId="390F3D9C">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1B2F1AB0">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multa poderá ser recolhida administrativamente no prazo máximo de </w:t>
      </w:r>
      <w:r>
        <w:rPr>
          <w:rFonts w:asciiTheme="minorHAnsi" w:hAnsiTheme="minorHAnsi" w:cstheme="minorHAnsi"/>
          <w:color w:val="4472C4" w:themeColor="accent5"/>
          <w:sz w:val="22"/>
          <w:szCs w:val="22"/>
          <w14:textFill>
            <w14:solidFill>
              <w14:schemeClr w14:val="accent5"/>
            </w14:solidFill>
          </w14:textFill>
        </w:rPr>
        <w:t xml:space="preserve">15 (quinze) </w:t>
      </w:r>
      <w:r>
        <w:rPr>
          <w:rFonts w:asciiTheme="minorHAnsi" w:hAnsiTheme="minorHAnsi" w:cstheme="minorHAnsi"/>
          <w:sz w:val="22"/>
          <w:szCs w:val="22"/>
        </w:rPr>
        <w:t>dias úteis, a contar da data do recebimento da comunicação enviada pela autoridade competente.</w:t>
      </w:r>
    </w:p>
    <w:p w14:paraId="0CF192C6">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2B9B5A6">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141DBA86">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295B1B32">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68AB4F11">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 natureza e a gravidade da infração cometida;</w:t>
      </w:r>
    </w:p>
    <w:p w14:paraId="35EC81F2">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as peculiaridades do caso concreto;</w:t>
      </w:r>
    </w:p>
    <w:p w14:paraId="3B37EE6A">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as circunstâncias agravantes ou atenuantes;</w:t>
      </w:r>
    </w:p>
    <w:p w14:paraId="5787D0B9">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os danos que dela provierem para o Contratante; e</w:t>
      </w:r>
    </w:p>
    <w:p w14:paraId="171A6EE5">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6FA02D6D">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6E5A14D">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08" w:name="_Hlk170830482"/>
      <w:r>
        <w:rPr>
          <w:rFonts w:asciiTheme="minorHAnsi" w:hAnsiTheme="minorHAnsi" w:cstheme="minorHAnsi"/>
          <w:sz w:val="22"/>
          <w:szCs w:val="22"/>
        </w:rPr>
        <w:t>previstos neste Termo de Referência</w:t>
      </w:r>
      <w:bookmarkEnd w:id="108"/>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88F866C">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754B1A6">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As penalidades serão obrigatoriamente registradas no SICAF.</w:t>
      </w:r>
    </w:p>
    <w:p w14:paraId="029AA107">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7FF9BEDA">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F6396D6">
      <w:pPr>
        <w:pStyle w:val="65"/>
        <w:widowControl w:val="0"/>
        <w:numPr>
          <w:ilvl w:val="1"/>
          <w:numId w:val="8"/>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aplicação das sanções previstas neste termo não exclui, em hipótese alguma, a obrigação de reparação integral dos danos causados ao Complexo Hospitalar e de Saúde-CHS/UFBA.</w:t>
      </w:r>
    </w:p>
    <w:p w14:paraId="26F6AA39">
      <w:pPr>
        <w:pStyle w:val="87"/>
        <w:numPr>
          <w:ilvl w:val="0"/>
          <w:numId w:val="8"/>
        </w:numPr>
        <w:tabs>
          <w:tab w:val="left" w:pos="284"/>
        </w:tabs>
        <w:spacing w:before="120" w:after="120" w:line="240" w:lineRule="auto"/>
        <w:ind w:left="0" w:right="-1" w:firstLine="0"/>
        <w:rPr>
          <w:rFonts w:asciiTheme="minorHAnsi" w:hAnsiTheme="minorHAnsi" w:cstheme="minorHAnsi"/>
          <w:bCs/>
          <w:color w:val="auto"/>
          <w:sz w:val="22"/>
          <w:szCs w:val="22"/>
        </w:rPr>
      </w:pPr>
      <w:r>
        <w:rPr>
          <w:rFonts w:asciiTheme="minorHAnsi" w:hAnsiTheme="minorHAnsi" w:eastAsiaTheme="minorEastAsia" w:cstheme="minorHAnsi"/>
          <w:color w:val="auto"/>
          <w:sz w:val="22"/>
          <w:szCs w:val="22"/>
        </w:rPr>
        <w:t>CRITÉRIOS</w:t>
      </w:r>
      <w:r>
        <w:rPr>
          <w:rFonts w:asciiTheme="minorHAnsi" w:hAnsiTheme="minorHAnsi" w:cstheme="minorHAnsi"/>
          <w:color w:val="auto"/>
          <w:sz w:val="22"/>
          <w:szCs w:val="22"/>
        </w:rPr>
        <w:t xml:space="preserve"> DE MEDIÇÃO E DE PAGAMENTO</w:t>
      </w:r>
    </w:p>
    <w:p w14:paraId="7BDF3F35">
      <w:pPr>
        <w:pStyle w:val="65"/>
        <w:widowControl w:val="0"/>
        <w:spacing w:before="120" w:after="120"/>
        <w:ind w:left="0" w:right="-1"/>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0E9808DF">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08EA1EA7">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color w:val="EE0000"/>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eastAsiaTheme="majorEastAsia" w:cstheme="minorHAnsi"/>
          <w:bCs/>
          <w:color w:val="0070C0"/>
          <w:sz w:val="22"/>
          <w:szCs w:val="22"/>
        </w:rPr>
        <w:t>10 (dez) dias corridos</w:t>
      </w:r>
      <w:r>
        <w:rPr>
          <w:rFonts w:asciiTheme="minorHAnsi" w:hAnsiTheme="minorHAnsi" w:eastAsiaTheme="majorEastAsia" w:cstheme="minorHAnsi"/>
          <w:bCs/>
          <w:sz w:val="22"/>
          <w:szCs w:val="22"/>
        </w:rPr>
        <w:t>, a contar da notificação da contratada, às suas custas, sem prejuízo da aplicação das penalidades</w:t>
      </w:r>
      <w:r>
        <w:rPr>
          <w:rFonts w:asciiTheme="minorHAnsi" w:hAnsiTheme="minorHAnsi" w:eastAsiaTheme="majorEastAsia" w:cstheme="minorHAnsi"/>
          <w:bCs/>
          <w:color w:val="EE0000"/>
          <w:sz w:val="22"/>
          <w:szCs w:val="22"/>
        </w:rPr>
        <w:t>. (tópico 14.10. ETP).</w:t>
      </w:r>
    </w:p>
    <w:p w14:paraId="6358B92A">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Cs/>
          <w:color w:val="0070C0"/>
          <w:sz w:val="22"/>
          <w:szCs w:val="22"/>
        </w:rPr>
        <w:t xml:space="preserve">05 (cinco) </w:t>
      </w:r>
      <w:r>
        <w:rPr>
          <w:rFonts w:asciiTheme="minorHAnsi" w:hAnsiTheme="minorHAnsi" w:eastAsiaTheme="majorEastAsia" w:cstheme="minorHAnsi"/>
          <w:bCs/>
          <w:sz w:val="22"/>
          <w:szCs w:val="22"/>
        </w:rPr>
        <w:t xml:space="preserve">dias úteis, a contar do recebimento da nota fiscal ou instrumento de cobrança equivalente pela Administração, após a verificação da qualidade e quantidade dos </w:t>
      </w:r>
      <w:r>
        <w:rPr>
          <w:rFonts w:asciiTheme="minorHAnsi" w:hAnsiTheme="minorHAnsi" w:cstheme="minorHAnsi"/>
          <w:sz w:val="22"/>
          <w:szCs w:val="22"/>
        </w:rPr>
        <w:t>materiais de consumo médico-hospitalar</w:t>
      </w:r>
      <w:r>
        <w:rPr>
          <w:rFonts w:asciiTheme="minorHAnsi" w:hAnsiTheme="minorHAnsi" w:eastAsiaTheme="majorEastAsia" w:cstheme="minorHAnsi"/>
          <w:bCs/>
          <w:sz w:val="22"/>
          <w:szCs w:val="22"/>
        </w:rPr>
        <w:t xml:space="preserve"> e consequente aceitação mediante termo detalhado.</w:t>
      </w:r>
    </w:p>
    <w:p w14:paraId="6232F9F7">
      <w:pPr>
        <w:pStyle w:val="65"/>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p w14:paraId="1D691E85">
      <w:pPr>
        <w:pStyle w:val="65"/>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p w14:paraId="663BE03F">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7"/>
          <w:rFonts w:asciiTheme="minorHAnsi" w:hAnsiTheme="minorHAnsi" w:cstheme="minorHAnsi"/>
          <w:sz w:val="22"/>
          <w:szCs w:val="22"/>
        </w:rPr>
        <w:t>art. 143 da Lei nº 14.133, de 2021</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0B65531D">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4D2B834">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300D91F4">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As atividades de montagem, instalação e quaisquer outras necessárias para o funcionamento ou uso do bem correrão por conta do Contratado e são condição para o recebimento do objeto.</w:t>
      </w:r>
    </w:p>
    <w:p w14:paraId="539A3804">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materiais de consumo médico-hospitalar, para as devidas correções;</w:t>
      </w:r>
    </w:p>
    <w:p w14:paraId="0CFB9D23">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2FE844AB">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serão pagos os materiais entregues em locais diferentes do mencionado no </w:t>
      </w:r>
      <w:r>
        <w:rPr>
          <w:rFonts w:asciiTheme="minorHAnsi" w:hAnsiTheme="minorHAnsi" w:cstheme="minorHAnsi"/>
          <w:color w:val="EE0000"/>
          <w:sz w:val="22"/>
          <w:szCs w:val="22"/>
        </w:rPr>
        <w:t xml:space="preserve">item 5.2. </w:t>
      </w:r>
      <w:r>
        <w:rPr>
          <w:rFonts w:asciiTheme="minorHAnsi" w:hAnsiTheme="minorHAnsi" w:cstheme="minorHAnsi"/>
          <w:sz w:val="22"/>
          <w:szCs w:val="22"/>
        </w:rPr>
        <w:t>deste Termo de Referência ou materiais entregues a funcionários do Hospital Ana Nery não autorizados;</w:t>
      </w:r>
    </w:p>
    <w:p w14:paraId="5AA1A04D">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18137248">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 (dez) dias corridos, sob pena de aplicação das sanções previstas neste Termo de Referência;</w:t>
      </w:r>
    </w:p>
    <w:p w14:paraId="09657F69">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rejeitará, no todo ou em parte, a entrega dos bens em desacordo com as especificações técnicas exigidas. </w:t>
      </w:r>
    </w:p>
    <w:p w14:paraId="1D8F15CC">
      <w:pPr>
        <w:pStyle w:val="65"/>
        <w:widowControl w:val="0"/>
        <w:spacing w:before="120" w:after="120"/>
        <w:ind w:left="0" w:right="-1"/>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5B2E2CF3">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3B775760">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60B35228">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36028045">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o prazo de validade;</w:t>
      </w:r>
    </w:p>
    <w:p w14:paraId="05F44DD8">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a data da emissão; </w:t>
      </w:r>
    </w:p>
    <w:p w14:paraId="3ED7E07D">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os dados do contrato e do órgão contratante; </w:t>
      </w:r>
    </w:p>
    <w:p w14:paraId="1ECDF893">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o período respectivo de execução do contrato; </w:t>
      </w:r>
    </w:p>
    <w:p w14:paraId="7D16CFCE">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o valor a pagar; e </w:t>
      </w:r>
    </w:p>
    <w:p w14:paraId="784AE54C">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eventual destaque do valor de retenções tributárias cabíveis.</w:t>
      </w:r>
    </w:p>
    <w:p w14:paraId="06357730">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7A7FCF0">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77ACD0B0">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A Administração deverá realizar consulta ao SICAF para: </w:t>
      </w:r>
    </w:p>
    <w:p w14:paraId="050D8E73">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verificar a manutenção das condições de habilitação exigidas no edital; </w:t>
      </w:r>
    </w:p>
    <w:p w14:paraId="09882EA4">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identificar possível razão que impeça a participação em licitação, no âmbito do órgão ou entidade, proibição de contratar com o Poder Público, bem como ocorrências impeditivas indiretas (Instrução Normativa nº 3, de 26 de abril de 2018).</w:t>
      </w:r>
    </w:p>
    <w:p w14:paraId="3D4F3D31">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F9E75D">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80EEF05">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711AE3EA">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285D1B18">
      <w:pPr>
        <w:pStyle w:val="65"/>
        <w:widowControl w:val="0"/>
        <w:spacing w:before="120" w:after="120"/>
        <w:ind w:left="0" w:right="-1"/>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136D9505">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39CD56BD">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color w:val="EE0000"/>
          <w:sz w:val="22"/>
          <w:szCs w:val="22"/>
        </w:rPr>
      </w:pPr>
      <w:r>
        <w:rPr>
          <w:rFonts w:asciiTheme="minorHAnsi" w:hAnsiTheme="minorHAnsi" w:eastAsiaTheme="majorEastAsia" w:cstheme="minorHAnsi"/>
          <w:color w:val="EE0000"/>
          <w:sz w:val="22"/>
          <w:szCs w:val="22"/>
        </w:rPr>
        <w:t xml:space="preserve"> </w:t>
      </w:r>
      <w:bookmarkStart w:id="109" w:name="_Hlk216944177"/>
      <w:r>
        <w:rPr>
          <w:rFonts w:asciiTheme="minorHAnsi" w:hAnsiTheme="minorHAnsi" w:eastAsiaTheme="majorEastAsia"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46A94156">
      <w:pPr>
        <w:pStyle w:val="52"/>
        <w:numPr>
          <w:ilvl w:val="2"/>
          <w:numId w:val="8"/>
        </w:numPr>
        <w:tabs>
          <w:tab w:val="clear" w:pos="360"/>
        </w:tabs>
        <w:spacing w:line="240" w:lineRule="auto"/>
        <w:ind w:left="0" w:right="-1" w:firstLine="0"/>
        <w:rPr>
          <w:rFonts w:asciiTheme="minorHAnsi" w:hAnsiTheme="minorHAnsi" w:cstheme="minorHAnsi"/>
          <w:bCs/>
        </w:rPr>
      </w:pPr>
      <w:r>
        <w:rPr>
          <w:rFonts w:asciiTheme="minorHAnsi" w:hAnsiTheme="minorHAnsi" w:cstheme="minorHAnsi"/>
        </w:rPr>
        <w:t>O valor dos encargos será calculado pela fórmula: EM = I x N x VP</w:t>
      </w:r>
    </w:p>
    <w:p w14:paraId="27105281">
      <w:pPr>
        <w:pStyle w:val="65"/>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Onde:</w:t>
      </w:r>
    </w:p>
    <w:p w14:paraId="771EE5BC">
      <w:pPr>
        <w:pStyle w:val="65"/>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EM = Encargos moratórios devidos;</w:t>
      </w:r>
    </w:p>
    <w:p w14:paraId="350A5FC6">
      <w:pPr>
        <w:pStyle w:val="65"/>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N = Número de dias entre a data prevista para o pagamento e a do efetivo pagamento;</w:t>
      </w:r>
    </w:p>
    <w:p w14:paraId="3C990BD1">
      <w:pPr>
        <w:pStyle w:val="65"/>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I = Índice de compensação financeira = 0,00016438; e</w:t>
      </w:r>
    </w:p>
    <w:p w14:paraId="5A56B4CF">
      <w:pPr>
        <w:pStyle w:val="65"/>
        <w:widowControl w:val="0"/>
        <w:spacing w:before="120" w:after="120"/>
        <w:ind w:right="-1"/>
        <w:contextualSpacing w:val="0"/>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VP = Valor da prestação em atraso.</w:t>
      </w:r>
    </w:p>
    <w:bookmarkEnd w:id="109"/>
    <w:p w14:paraId="717B9360">
      <w:pPr>
        <w:pStyle w:val="65"/>
        <w:widowControl w:val="0"/>
        <w:spacing w:before="120" w:after="120"/>
        <w:ind w:left="0"/>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1F320988">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63D56272">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5EC851FF">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0AE56458">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79589322">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B479738">
      <w:pPr>
        <w:pStyle w:val="51"/>
        <w:rPr>
          <w:rFonts w:asciiTheme="minorHAnsi" w:hAnsiTheme="minorHAnsi" w:cstheme="minorHAnsi"/>
        </w:rPr>
      </w:pPr>
      <w:r>
        <w:rPr>
          <w:rFonts w:asciiTheme="minorHAnsi" w:hAnsiTheme="minorHAnsi" w:cstheme="minorHAnsi"/>
        </w:rPr>
        <w:t>Cessão de Crédito</w:t>
      </w:r>
    </w:p>
    <w:p w14:paraId="4699D799">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As cessões de crédito dependerão de prévia aprovação do Contratante.</w:t>
      </w:r>
    </w:p>
    <w:p w14:paraId="24F0E049">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 eficácia da cessão de crédito, em relação à Administração, está condicionada à celebração de termo aditivo ao contrato administrativo.</w:t>
      </w:r>
    </w:p>
    <w:p w14:paraId="6F225C3B">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402B349C">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1C9CEBC">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 cessão de crédito não afetará a execução do objeto contratado, que continuará sob a integral responsabilidade do Contratado.</w:t>
      </w:r>
    </w:p>
    <w:p w14:paraId="52745F7C">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O disposto nesta seção não afeta as operações de crédito de que trata a Instrução Normativa SEGES/MGI nº 82, de 21 de fevereiro de 2025, as quais ficam por esta regidas.</w:t>
      </w:r>
    </w:p>
    <w:p w14:paraId="670DC92C">
      <w:pPr>
        <w:pStyle w:val="65"/>
        <w:widowControl w:val="0"/>
        <w:spacing w:before="120" w:after="120"/>
        <w:ind w:left="0" w:right="-1"/>
        <w:contextualSpacing w:val="0"/>
        <w:jc w:val="both"/>
        <w:rPr>
          <w:rFonts w:asciiTheme="minorHAnsi" w:hAnsiTheme="minorHAnsi" w:eastAsiaTheme="majorEastAsia" w:cstheme="minorHAnsi"/>
          <w:b/>
          <w:sz w:val="22"/>
          <w:szCs w:val="22"/>
          <w:u w:val="single"/>
        </w:rPr>
      </w:pPr>
      <w:r>
        <w:rPr>
          <w:rFonts w:asciiTheme="minorHAnsi" w:hAnsiTheme="minorHAnsi" w:eastAsiaTheme="majorEastAsia" w:cstheme="minorHAnsi"/>
          <w:b/>
          <w:sz w:val="22"/>
          <w:szCs w:val="22"/>
          <w:u w:val="single"/>
        </w:rPr>
        <w:t>Reajuste</w:t>
      </w:r>
    </w:p>
    <w:p w14:paraId="3B472CAD">
      <w:pPr>
        <w:pStyle w:val="65"/>
        <w:widowControl w:val="0"/>
        <w:numPr>
          <w:ilvl w:val="1"/>
          <w:numId w:val="8"/>
        </w:numPr>
        <w:spacing w:before="120" w:after="120"/>
        <w:ind w:left="0" w:right="140"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 xml:space="preserve">Os preços inicialmente contratados são fixos e irreajustáveis no prazo de um ano contado da data do orçamento estimado, em </w:t>
      </w:r>
      <w:r>
        <w:rPr>
          <w:rFonts w:asciiTheme="minorHAnsi" w:hAnsiTheme="minorHAnsi" w:eastAsiaTheme="majorEastAsia" w:cstheme="minorHAnsi"/>
          <w:color w:val="0070C0"/>
          <w:sz w:val="22"/>
          <w:szCs w:val="22"/>
        </w:rPr>
        <w:t xml:space="preserve"> 20/03/2026. (Lei nº 14.133, de 2021, art. 25, §7º, e art. 92, inciso V e § 3º).</w:t>
      </w:r>
    </w:p>
    <w:p w14:paraId="68FE61D8">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4472C4" w:themeColor="accent5"/>
          <w:sz w:val="22"/>
          <w:szCs w:val="22"/>
          <w14:textFill>
            <w14:solidFill>
              <w14:schemeClr w14:val="accent5"/>
            </w14:solidFill>
          </w14:textFill>
        </w:rPr>
        <w:t>IPCA/IBGE</w:t>
      </w:r>
      <w:r>
        <w:rPr>
          <w:rFonts w:asciiTheme="minorHAnsi" w:hAnsiTheme="minorHAnsi" w:eastAsiaTheme="majorEastAsia" w:cstheme="minorHAnsi"/>
          <w:color w:val="4472C4" w:themeColor="accent5"/>
          <w:sz w:val="22"/>
          <w:szCs w:val="22"/>
          <w14:textFill>
            <w14:solidFill>
              <w14:schemeClr w14:val="accent5"/>
            </w14:solidFill>
          </w14:textFill>
        </w:rPr>
        <w:t xml:space="preserve">, </w:t>
      </w:r>
      <w:r>
        <w:rPr>
          <w:rFonts w:asciiTheme="minorHAnsi" w:hAnsiTheme="minorHAnsi" w:eastAsiaTheme="majorEastAsia" w:cstheme="minorHAnsi"/>
          <w:sz w:val="22"/>
          <w:szCs w:val="22"/>
        </w:rPr>
        <w:t>exclusivamente para as obrigações iniciadas e concluídas após a ocorrência da anualidade.</w:t>
      </w:r>
    </w:p>
    <w:p w14:paraId="40437C42">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Nos reajustes subsequentes ao primeiro, o interregno mínimo de um ano será contado a partir dos efeitos financeiros do último reajuste.</w:t>
      </w:r>
    </w:p>
    <w:p w14:paraId="073EFEB2">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781722D4">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Nas aferições finais, o índice utilizado para reajuste será, obrigatoriamente, o definitivo.</w:t>
      </w:r>
    </w:p>
    <w:p w14:paraId="2966C278">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248E7355">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Na ausência de previsão legal quanto ao índice substituto, as partes elegerão novo índice oficial, para reajustamento do preço do valor remanescente, por meio de termo aditivo.</w:t>
      </w:r>
    </w:p>
    <w:p w14:paraId="6463A018">
      <w:pPr>
        <w:pStyle w:val="65"/>
        <w:widowControl w:val="0"/>
        <w:numPr>
          <w:ilvl w:val="1"/>
          <w:numId w:val="8"/>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O reajuste será realizado por apostilamento.</w:t>
      </w:r>
    </w:p>
    <w:p w14:paraId="69AC1A7F">
      <w:pPr>
        <w:pStyle w:val="87"/>
        <w:numPr>
          <w:ilvl w:val="0"/>
          <w:numId w:val="8"/>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65D144CB">
      <w:pPr>
        <w:pStyle w:val="145"/>
        <w:rPr>
          <w:rFonts w:asciiTheme="minorHAnsi" w:hAnsiTheme="minorHAnsi"/>
          <w:sz w:val="22"/>
          <w:szCs w:val="22"/>
        </w:rPr>
      </w:pPr>
      <w:r>
        <w:rPr>
          <w:rFonts w:asciiTheme="minorHAnsi" w:hAnsiTheme="minorHAnsi"/>
          <w:sz w:val="22"/>
          <w:szCs w:val="22"/>
        </w:rPr>
        <w:t>Forma de seleção e critério de julgamento da proposta</w:t>
      </w:r>
    </w:p>
    <w:p w14:paraId="5B75841F">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w:t>
      </w:r>
      <w:r>
        <w:rPr>
          <w:rFonts w:asciiTheme="minorHAnsi" w:hAnsiTheme="minorHAnsi" w:cstheme="minorHAnsi"/>
          <w:color w:val="0070C0"/>
          <w:sz w:val="22"/>
          <w:szCs w:val="22"/>
        </w:rPr>
        <w:t>ELETRÔNICA</w:t>
      </w:r>
      <w:r>
        <w:rPr>
          <w:rFonts w:asciiTheme="minorHAnsi" w:hAnsiTheme="minorHAnsi" w:cstheme="minorHAnsi"/>
          <w:sz w:val="22"/>
          <w:szCs w:val="22"/>
        </w:rPr>
        <w:t xml:space="preserve">, com adoção do critério de julgamento pelo </w:t>
      </w:r>
      <w:r>
        <w:rPr>
          <w:rFonts w:asciiTheme="minorHAnsi" w:hAnsiTheme="minorHAnsi" w:cstheme="minorHAnsi"/>
          <w:color w:val="0070C0"/>
          <w:sz w:val="22"/>
          <w:szCs w:val="22"/>
        </w:rPr>
        <w:t>MENOR PREÇO</w:t>
      </w:r>
      <w:r>
        <w:rPr>
          <w:rFonts w:asciiTheme="minorHAnsi" w:hAnsiTheme="minorHAnsi" w:cstheme="minorHAnsi"/>
          <w:sz w:val="22"/>
          <w:szCs w:val="22"/>
        </w:rPr>
        <w:t>.</w:t>
      </w:r>
    </w:p>
    <w:p w14:paraId="018AEAAB">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16E41392">
      <w:pPr>
        <w:pStyle w:val="51"/>
        <w:rPr>
          <w:rFonts w:asciiTheme="minorHAnsi" w:hAnsiTheme="minorHAnsi" w:cstheme="minorHAnsi"/>
        </w:rPr>
      </w:pPr>
      <w:r>
        <w:rPr>
          <w:rFonts w:asciiTheme="minorHAnsi" w:hAnsiTheme="minorHAnsi" w:cstheme="minorHAnsi"/>
        </w:rPr>
        <w:t>Critérios de aceitabilidade de preços</w:t>
      </w:r>
    </w:p>
    <w:p w14:paraId="33B55717">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495B7AF3">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Valores unitários: conforme tabela constante no item 1.1. deste Termo de Referência.</w:t>
      </w:r>
    </w:p>
    <w:p w14:paraId="0A16A701">
      <w:pPr>
        <w:pStyle w:val="145"/>
        <w:rPr>
          <w:rFonts w:asciiTheme="minorHAnsi" w:hAnsiTheme="minorHAnsi"/>
          <w:sz w:val="22"/>
          <w:szCs w:val="22"/>
        </w:rPr>
      </w:pPr>
      <w:r>
        <w:rPr>
          <w:rFonts w:asciiTheme="minorHAnsi" w:hAnsiTheme="minorHAnsi"/>
          <w:sz w:val="22"/>
          <w:szCs w:val="22"/>
        </w:rPr>
        <w:t>Exigências de habilitação</w:t>
      </w:r>
    </w:p>
    <w:p w14:paraId="2C3B1A51">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0981885D">
      <w:pPr>
        <w:pStyle w:val="65"/>
        <w:widowControl w:val="0"/>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jurídica</w:t>
      </w:r>
      <w:bookmarkStart w:id="110" w:name="_Ref115800561"/>
    </w:p>
    <w:p w14:paraId="584338FC">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Pessoa física: cédula de identidade (RG) ou documento equivalente que, por força de lei, tenha validade para fins de identificação em todo o território nacional.</w:t>
      </w:r>
      <w:bookmarkEnd w:id="110"/>
    </w:p>
    <w:p w14:paraId="6382C0E1">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Empresário individual: inscrição no Registro Público de Empresas Mercantis, a cargo da Junta Comercial da respectiva sede.</w:t>
      </w:r>
    </w:p>
    <w:p w14:paraId="3D7605DC">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heme="minorHAnsi" w:hAnsiTheme="minorHAnsi" w:cstheme="minorHAnsi"/>
        </w:rPr>
        <w:t>https://www.gov.br/empresas-e-negocios/pt-br/empreendedor</w:t>
      </w:r>
      <w:r>
        <w:rPr>
          <w:rFonts w:asciiTheme="minorHAnsi" w:hAnsiTheme="minorHAnsi" w:cstheme="minorHAnsi"/>
        </w:rPr>
        <w:fldChar w:fldCharType="end"/>
      </w:r>
      <w:r>
        <w:rPr>
          <w:rFonts w:asciiTheme="minorHAnsi" w:hAnsiTheme="minorHAnsi" w:cstheme="minorHAnsi"/>
        </w:rPr>
        <w:t xml:space="preserve">. </w:t>
      </w:r>
    </w:p>
    <w:p w14:paraId="095856CF">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578EE83">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heme="minorHAnsi" w:hAnsiTheme="minorHAnsi" w:cstheme="minorHAnsi"/>
        </w:rPr>
        <w:t>Normativa DREI/ME n.º 77, de 18 de março de 2020</w:t>
      </w:r>
      <w:r>
        <w:rPr>
          <w:rFonts w:asciiTheme="minorHAnsi" w:hAnsiTheme="minorHAnsi" w:cstheme="minorHAnsi"/>
        </w:rPr>
        <w:fldChar w:fldCharType="end"/>
      </w:r>
      <w:r>
        <w:rPr>
          <w:rFonts w:asciiTheme="minorHAnsi" w:hAnsiTheme="minorHAnsi" w:cstheme="minorHAnsi"/>
        </w:rPr>
        <w:t>.</w:t>
      </w:r>
    </w:p>
    <w:p w14:paraId="237C8292">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Sociedade simples: inscrição do ato constitutivo no Registro Civil de Pessoas Jurídicas do local de sua sede, acompanhada de documento comprobatório de seus administradores.</w:t>
      </w:r>
    </w:p>
    <w:p w14:paraId="5BA7C2B1">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1" w:name="_Int_ySfCXwr4"/>
      <w:r>
        <w:rPr>
          <w:rFonts w:asciiTheme="minorHAnsi" w:hAnsiTheme="minorHAnsi" w:cstheme="minorHAnsi"/>
        </w:rPr>
        <w:t>Mercantis onde</w:t>
      </w:r>
      <w:bookmarkEnd w:id="111"/>
      <w:r>
        <w:rPr>
          <w:rFonts w:asciiTheme="minorHAnsi" w:hAnsiTheme="minorHAnsi" w:cstheme="minorHAnsi"/>
        </w:rPr>
        <w:t xml:space="preserve"> opera, com averbação no Registro onde tem sede a matriz.</w:t>
      </w:r>
    </w:p>
    <w:p w14:paraId="16897D08">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heme="minorHAnsi" w:hAnsiTheme="minorHAnsi" w:cstheme="minorHAnsi"/>
        </w:rPr>
        <w:t>art. 107 da Lei nº 5.764, de 16 de dezembro 1971</w:t>
      </w:r>
      <w:r>
        <w:rPr>
          <w:rFonts w:asciiTheme="minorHAnsi" w:hAnsiTheme="minorHAnsi" w:cstheme="minorHAnsi"/>
        </w:rPr>
        <w:fldChar w:fldCharType="end"/>
      </w:r>
      <w:r>
        <w:rPr>
          <w:rFonts w:asciiTheme="minorHAnsi" w:hAnsiTheme="minorHAnsi" w:cstheme="minorHAnsi"/>
        </w:rPr>
        <w:t>.</w:t>
      </w:r>
    </w:p>
    <w:p w14:paraId="5545C8AB">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Os documentos apresentados deverão estar acompanhados de todas as alterações ou da consolidação respectiva.</w:t>
      </w:r>
    </w:p>
    <w:p w14:paraId="217C8D2D">
      <w:pPr>
        <w:pStyle w:val="145"/>
        <w:rPr>
          <w:rFonts w:asciiTheme="minorHAnsi" w:hAnsiTheme="minorHAnsi"/>
          <w:sz w:val="22"/>
          <w:szCs w:val="22"/>
        </w:rPr>
      </w:pPr>
      <w:r>
        <w:rPr>
          <w:rFonts w:asciiTheme="minorHAnsi" w:hAnsiTheme="minorHAnsi"/>
          <w:sz w:val="22"/>
          <w:szCs w:val="22"/>
        </w:rPr>
        <w:t>Habilitação fiscal, social e trabalhista</w:t>
      </w:r>
    </w:p>
    <w:p w14:paraId="1DD73CAD">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Prova de inscrição no Cadastro Nacional de Pessoas Jurídicas ou no Cadastro de Pessoas Físicas, conforme o caso.</w:t>
      </w:r>
    </w:p>
    <w:p w14:paraId="47FA2F7E">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277DDF1">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Prova de regularidade com o Fundo de Garantia do Tempo de Serviço (FGTS).</w:t>
      </w:r>
    </w:p>
    <w:p w14:paraId="3875BE8D">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BFC6F0">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Prova de inscrição no cadastro de contribuintes Estadual e Municipal, relativo ao domicílio ou sede do fornecedor, pertinente ao seu ramo de atividade e compatível com o objeto contratual. </w:t>
      </w:r>
    </w:p>
    <w:p w14:paraId="46C9252A">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Prova de regularidade com a Fazenda Estadual e Municipal, do domicílio ou sede do fornecedor, relativa à atividade em cujo exercício contrata ou concorre.</w:t>
      </w:r>
    </w:p>
    <w:p w14:paraId="3A2C8262">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2BAEE4B1">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31E869">
      <w:pPr>
        <w:pStyle w:val="145"/>
        <w:rPr>
          <w:rFonts w:asciiTheme="minorHAnsi" w:hAnsiTheme="minorHAnsi"/>
          <w:sz w:val="22"/>
          <w:szCs w:val="22"/>
        </w:rPr>
      </w:pPr>
      <w:r>
        <w:rPr>
          <w:rFonts w:asciiTheme="minorHAnsi" w:hAnsiTheme="minorHAnsi"/>
          <w:sz w:val="22"/>
          <w:szCs w:val="22"/>
        </w:rPr>
        <w:t>Qualificação Econômico-Financeira</w:t>
      </w:r>
    </w:p>
    <w:p w14:paraId="753A5805">
      <w:pPr>
        <w:pStyle w:val="52"/>
        <w:numPr>
          <w:ilvl w:val="2"/>
          <w:numId w:val="8"/>
        </w:numPr>
        <w:tabs>
          <w:tab w:val="clear" w:pos="360"/>
        </w:tabs>
        <w:spacing w:line="240" w:lineRule="auto"/>
        <w:ind w:left="0" w:right="-1" w:firstLine="0"/>
        <w:rPr>
          <w:rFonts w:asciiTheme="minorHAnsi" w:hAnsiTheme="minorHAnsi" w:cstheme="minorHAnsi"/>
        </w:rPr>
      </w:pPr>
      <w:bookmarkStart w:id="112" w:name="_Hlk216945528"/>
      <w:r>
        <w:rPr>
          <w:rFonts w:asciiTheme="minorHAnsi" w:hAnsiTheme="minorHAnsi" w:cstheme="minorHAnsi"/>
        </w:rPr>
        <w:t>Certidão negativa de insolvência civil expedida pelo distribuidor do domicilio ou sede do interessado, caso se trate de pessoa física, deste que admitida a sua participação na licitação, ou de sociedade simples.</w:t>
      </w:r>
    </w:p>
    <w:bookmarkEnd w:id="112"/>
    <w:p w14:paraId="1064B86B">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heme="minorHAnsi" w:hAnsiTheme="minorHAnsi" w:cstheme="minorHAnsi"/>
        </w:rPr>
        <w:t>Lei nº 14.133, de 2021, art. 69, caput, inciso II</w:t>
      </w:r>
      <w:r>
        <w:rPr>
          <w:rFonts w:asciiTheme="minorHAnsi" w:hAnsiTheme="minorHAnsi" w:cstheme="minorHAnsi"/>
        </w:rPr>
        <w:fldChar w:fldCharType="end"/>
      </w:r>
      <w:r>
        <w:rPr>
          <w:rFonts w:asciiTheme="minorHAnsi" w:hAnsiTheme="minorHAnsi" w:cstheme="minorHAnsi"/>
        </w:rPr>
        <w:t>).</w:t>
      </w:r>
    </w:p>
    <w:p w14:paraId="631B4D80">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 xml:space="preserve">Balanço patrimonial, demonstração de resultado de exercício e demais demonstrações contábeis dos </w:t>
      </w:r>
      <w:r>
        <w:rPr>
          <w:rFonts w:asciiTheme="minorHAnsi" w:hAnsiTheme="minorHAnsi" w:cstheme="minorHAnsi"/>
          <w:color w:val="4472C4" w:themeColor="accent5"/>
          <w14:textFill>
            <w14:solidFill>
              <w14:schemeClr w14:val="accent5"/>
            </w14:solidFill>
          </w14:textFill>
        </w:rPr>
        <w:t>2 (dois) últimos exercícios sociais</w:t>
      </w:r>
      <w:r>
        <w:rPr>
          <w:rFonts w:asciiTheme="minorHAnsi" w:hAnsiTheme="minorHAnsi" w:cstheme="minorHAnsi"/>
        </w:rPr>
        <w:t>, comprovando, índices de Liquidez Geral (LG), Liquidez Corrente (LC), e Solvência Geral (SG) superiores a 1 (um), obtidos por meio da aplicação das seguintes fórmulas:</w:t>
      </w:r>
    </w:p>
    <w:tbl>
      <w:tblPr>
        <w:tblStyle w:val="39"/>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1AED7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65073435">
            <w:pPr>
              <w:pStyle w:val="156"/>
              <w:numPr>
                <w:ilvl w:val="0"/>
                <w:numId w:val="0"/>
              </w:numPr>
              <w:spacing w:line="240" w:lineRule="auto"/>
              <w:rPr>
                <w:rFonts w:asciiTheme="minorHAnsi" w:hAnsiTheme="minorHAnsi" w:cstheme="minorHAnsi"/>
                <w:sz w:val="22"/>
                <w:szCs w:val="22"/>
              </w:rPr>
            </w:pPr>
            <w:bookmarkStart w:id="113"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33B9965A">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0A512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0019807D">
            <w:pPr>
              <w:pStyle w:val="156"/>
              <w:numPr>
                <w:ilvl w:val="1"/>
                <w:numId w:val="10"/>
              </w:numPr>
              <w:spacing w:line="240" w:lineRule="auto"/>
              <w:ind w:left="0" w:firstLine="0"/>
              <w:rPr>
                <w:rFonts w:asciiTheme="minorHAnsi" w:hAnsiTheme="minorHAnsi" w:cstheme="minorHAnsi"/>
                <w:sz w:val="22"/>
                <w:szCs w:val="22"/>
              </w:rPr>
            </w:pPr>
          </w:p>
        </w:tc>
        <w:tc>
          <w:tcPr>
            <w:tcW w:w="4252" w:type="dxa"/>
            <w:gridSpan w:val="2"/>
            <w:tcBorders>
              <w:top w:val="single" w:color="auto" w:sz="4" w:space="0"/>
            </w:tcBorders>
          </w:tcPr>
          <w:p w14:paraId="7EBB9B90">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71418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59B5EF94">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583ABA02">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Ativo Total</w:t>
            </w:r>
          </w:p>
        </w:tc>
      </w:tr>
      <w:tr w14:paraId="32811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37E3737C">
            <w:pPr>
              <w:pStyle w:val="156"/>
              <w:numPr>
                <w:ilvl w:val="1"/>
                <w:numId w:val="10"/>
              </w:numPr>
              <w:spacing w:line="240" w:lineRule="auto"/>
              <w:ind w:left="0" w:firstLine="0"/>
              <w:rPr>
                <w:rFonts w:asciiTheme="minorHAnsi" w:hAnsiTheme="minorHAnsi" w:cstheme="minorHAnsi"/>
                <w:sz w:val="22"/>
                <w:szCs w:val="22"/>
              </w:rPr>
            </w:pPr>
          </w:p>
        </w:tc>
        <w:tc>
          <w:tcPr>
            <w:tcW w:w="4394" w:type="dxa"/>
            <w:gridSpan w:val="3"/>
            <w:tcBorders>
              <w:top w:val="single" w:color="auto" w:sz="4" w:space="0"/>
            </w:tcBorders>
          </w:tcPr>
          <w:p w14:paraId="5BDDFCA3">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23C7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4AF76670">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21B19C40">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Ativo Circulante</w:t>
            </w:r>
          </w:p>
        </w:tc>
      </w:tr>
      <w:tr w14:paraId="3A12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5EBE8873">
            <w:pPr>
              <w:pStyle w:val="156"/>
              <w:numPr>
                <w:ilvl w:val="1"/>
                <w:numId w:val="10"/>
              </w:numPr>
              <w:spacing w:line="240" w:lineRule="auto"/>
              <w:ind w:left="0" w:firstLine="0"/>
              <w:rPr>
                <w:rFonts w:asciiTheme="minorHAnsi" w:hAnsiTheme="minorHAnsi" w:cstheme="minorHAnsi"/>
                <w:sz w:val="22"/>
                <w:szCs w:val="22"/>
              </w:rPr>
            </w:pPr>
          </w:p>
        </w:tc>
        <w:tc>
          <w:tcPr>
            <w:tcW w:w="2551" w:type="dxa"/>
            <w:tcBorders>
              <w:top w:val="single" w:color="auto" w:sz="4" w:space="0"/>
            </w:tcBorders>
          </w:tcPr>
          <w:p w14:paraId="53B6D967">
            <w:pPr>
              <w:pStyle w:val="156"/>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Passivo Circulante</w:t>
            </w:r>
          </w:p>
        </w:tc>
      </w:tr>
      <w:bookmarkEnd w:id="113"/>
    </w:tbl>
    <w:p w14:paraId="22967BB5">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bookmarkStart w:id="114" w:name="_Hlk218504123"/>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77D5A261">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bookmarkStart w:id="115"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15"/>
    <w:p w14:paraId="19790673">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35CBDD30">
      <w:pPr>
        <w:pStyle w:val="65"/>
        <w:numPr>
          <w:ilvl w:val="1"/>
          <w:numId w:val="8"/>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7557EAEE">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bookmarkEnd w:id="114"/>
    <w:p w14:paraId="402707DC">
      <w:pPr>
        <w:pStyle w:val="65"/>
        <w:widowControl w:val="0"/>
        <w:spacing w:before="120" w:after="120"/>
        <w:ind w:left="0" w:right="-1"/>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Disposições gerais sobre habilitação</w:t>
      </w:r>
    </w:p>
    <w:p w14:paraId="031B8454">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1D44A767">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0442943">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4DC753F8">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F38C01">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340DF02F">
      <w:pPr>
        <w:pStyle w:val="87"/>
        <w:numPr>
          <w:ilvl w:val="0"/>
          <w:numId w:val="8"/>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 xml:space="preserve"> ESTIMATIVAS</w:t>
      </w:r>
      <w:r>
        <w:rPr>
          <w:rFonts w:asciiTheme="minorHAnsi" w:hAnsiTheme="minorHAnsi" w:cstheme="minorHAnsi"/>
          <w:color w:val="auto"/>
          <w:sz w:val="22"/>
          <w:szCs w:val="22"/>
        </w:rPr>
        <w:t xml:space="preserve"> DO VALOR DA CONTRATAÇÃO</w:t>
      </w:r>
    </w:p>
    <w:p w14:paraId="169C4F9A">
      <w:pPr>
        <w:pStyle w:val="65"/>
        <w:widowControl w:val="0"/>
        <w:numPr>
          <w:ilvl w:val="1"/>
          <w:numId w:val="8"/>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custo estimado da contratação, que corresponde ao valor máximo aceitável, é de R$ 1.555.585,60 (Um milhão, quinhentos e cinquenta cinco mil, quinhentos e oitenta e cinco e sessenta centavos), conforme custos unitários apostos na tabela contida no item 1.1 acima.</w:t>
      </w:r>
    </w:p>
    <w:p w14:paraId="7D5B11E5">
      <w:pPr>
        <w:pStyle w:val="65"/>
        <w:widowControl w:val="0"/>
        <w:spacing w:before="120" w:after="120"/>
        <w:ind w:left="0"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10.1.1. </w:t>
      </w:r>
      <w:bookmarkStart w:id="116" w:name="_Hlk218504267"/>
      <w:r>
        <w:rPr>
          <w:rFonts w:asciiTheme="minorHAnsi" w:hAnsiTheme="minorHAnsi" w:cstheme="minorHAnsi"/>
          <w:color w:val="FF0000"/>
          <w:sz w:val="22"/>
          <w:szCs w:val="22"/>
        </w:rPr>
        <w:t>Pesquisa de preços realizada pelo Núcleo de Compras do CHS, conforme documentos anexo ao processo.</w:t>
      </w:r>
    </w:p>
    <w:bookmarkEnd w:id="116"/>
    <w:p w14:paraId="74BBCE57">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56DA946">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7EEA1C6">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em caso de criação, alteração ou extinção de quaisquer tributos ou encargos legais ou superveniência de disposições legais, com comprovada repercussão sobre os preços registrados;</w:t>
      </w:r>
    </w:p>
    <w:p w14:paraId="4429AB36">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serão reajustados os preços registrados, respeitada a contagem da anualidade e o índice previsto para a contratação; ou</w:t>
      </w:r>
    </w:p>
    <w:p w14:paraId="4B8B5A93">
      <w:pPr>
        <w:pStyle w:val="52"/>
        <w:numPr>
          <w:ilvl w:val="2"/>
          <w:numId w:val="8"/>
        </w:numPr>
        <w:tabs>
          <w:tab w:val="clear" w:pos="360"/>
        </w:tabs>
        <w:spacing w:line="240" w:lineRule="auto"/>
        <w:ind w:left="0" w:right="-1" w:firstLine="0"/>
        <w:rPr>
          <w:rFonts w:asciiTheme="minorHAnsi" w:hAnsiTheme="minorHAnsi" w:cstheme="minorHAnsi"/>
        </w:rPr>
      </w:pPr>
      <w:r>
        <w:rPr>
          <w:rFonts w:asciiTheme="minorHAnsi" w:hAnsiTheme="minorHAnsi" w:cstheme="minorHAnsi"/>
        </w:rPr>
        <w:t>poderão ser repactuados, a pedido do interessado, conforme critérios definidos para a contratação.</w:t>
      </w:r>
    </w:p>
    <w:p w14:paraId="4A366612">
      <w:pPr>
        <w:pStyle w:val="87"/>
        <w:numPr>
          <w:ilvl w:val="0"/>
          <w:numId w:val="8"/>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52B282F5">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44EB498C">
      <w:pPr>
        <w:pStyle w:val="65"/>
        <w:widowControl w:val="0"/>
        <w:numPr>
          <w:ilvl w:val="1"/>
          <w:numId w:val="8"/>
        </w:numPr>
        <w:spacing w:before="120" w:after="120"/>
        <w:ind w:left="0" w:right="-1" w:firstLine="0"/>
        <w:contextualSpacing w:val="0"/>
        <w:jc w:val="both"/>
        <w:rPr>
          <w:rFonts w:asciiTheme="minorHAnsi" w:hAnsiTheme="minorHAnsi" w:cstheme="minorHAnsi"/>
          <w:sz w:val="22"/>
          <w:szCs w:val="22"/>
        </w:rPr>
      </w:pPr>
      <w:bookmarkStart w:id="117"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17"/>
    <w:p w14:paraId="27D8D309">
      <w:pPr>
        <w:pStyle w:val="51"/>
        <w:rPr>
          <w:rFonts w:asciiTheme="minorHAnsi" w:hAnsiTheme="minorHAnsi" w:cstheme="minorHAnsi"/>
        </w:rPr>
      </w:pPr>
      <w:r>
        <w:rPr>
          <w:rFonts w:asciiTheme="minorHAnsi" w:hAnsiTheme="minorHAnsi" w:cstheme="minorHAnsi"/>
        </w:rPr>
        <w:t>12.</w:t>
      </w:r>
      <w:r>
        <w:rPr>
          <w:rFonts w:asciiTheme="minorHAnsi" w:hAnsiTheme="minorHAnsi" w:cstheme="minorHAnsi"/>
        </w:rPr>
        <w:tab/>
      </w:r>
      <w:r>
        <w:rPr>
          <w:rFonts w:asciiTheme="minorHAnsi" w:hAnsiTheme="minorHAnsi" w:cstheme="minorHAnsi"/>
        </w:rPr>
        <w:t>DISPOSIÇÕES FINAIS</w:t>
      </w:r>
    </w:p>
    <w:p w14:paraId="5D8ED1A1">
      <w:pPr>
        <w:widowControl w:val="0"/>
        <w:spacing w:before="120" w:after="120"/>
        <w:ind w:right="-1"/>
        <w:jc w:val="both"/>
        <w:rPr>
          <w:rFonts w:cstheme="minorHAnsi"/>
        </w:rPr>
      </w:pPr>
      <w:r>
        <w:rPr>
          <w:rFonts w:cstheme="minorHAnsi"/>
        </w:rPr>
        <w:t>12.1. As informações contidas neste Termo de Referência não serão classificadas como sigilosas.</w:t>
      </w:r>
    </w:p>
    <w:p w14:paraId="01F9605E">
      <w:pPr>
        <w:widowControl w:val="0"/>
        <w:spacing w:before="120" w:after="120"/>
        <w:ind w:right="-1"/>
        <w:jc w:val="both"/>
        <w:rPr>
          <w:rFonts w:cstheme="minorHAnsi"/>
        </w:rPr>
      </w:pPr>
    </w:p>
    <w:p w14:paraId="78E92716">
      <w:pPr>
        <w:shd w:val="clear" w:color="auto" w:fill="F1F1F1" w:themeFill="background1" w:themeFillShade="F2"/>
        <w:spacing w:before="120" w:after="120" w:line="240" w:lineRule="auto"/>
        <w:jc w:val="both"/>
        <w:rPr>
          <w:rFonts w:eastAsiaTheme="majorEastAsia" w:cstheme="minorHAnsi"/>
          <w:b/>
          <w:bCs/>
          <w:color w:val="FF0000"/>
        </w:rPr>
      </w:pPr>
      <w:r>
        <w:rPr>
          <w:rFonts w:eastAsiaTheme="majorEastAsia" w:cstheme="minorHAnsi"/>
          <w:b/>
          <w:bCs/>
          <w:color w:val="FF0000"/>
        </w:rPr>
        <w:t>13.  DAS PARTES INTEGRANTES DESTE TERMO</w:t>
      </w:r>
    </w:p>
    <w:p w14:paraId="0C0FDBC3">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35DAEEB1">
      <w:pPr>
        <w:widowControl w:val="0"/>
        <w:spacing w:before="120" w:after="120" w:line="240" w:lineRule="auto"/>
        <w:jc w:val="both"/>
        <w:rPr>
          <w:rFonts w:cstheme="minorHAnsi"/>
          <w:color w:val="FF0000"/>
        </w:rPr>
      </w:pPr>
      <w:r>
        <w:rPr>
          <w:rFonts w:cstheme="minorHAnsi"/>
          <w:color w:val="FF0000"/>
        </w:rPr>
        <w:t>13.1.1. Anexo TR-I – Estudo Técnico Preliminar.</w:t>
      </w:r>
    </w:p>
    <w:p w14:paraId="5402E43A">
      <w:pPr>
        <w:pStyle w:val="65"/>
        <w:widowControl w:val="0"/>
        <w:spacing w:before="120" w:after="120"/>
        <w:ind w:left="0" w:right="-1"/>
        <w:contextualSpacing w:val="0"/>
        <w:jc w:val="both"/>
        <w:rPr>
          <w:rFonts w:asciiTheme="minorHAnsi" w:hAnsiTheme="minorHAnsi" w:cstheme="minorHAnsi"/>
          <w:color w:val="FF0000"/>
          <w:sz w:val="22"/>
          <w:szCs w:val="22"/>
        </w:rPr>
      </w:pPr>
    </w:p>
    <w:p w14:paraId="6E96BBFD">
      <w:pPr>
        <w:spacing w:before="120" w:after="120" w:line="240" w:lineRule="auto"/>
        <w:ind w:right="-1"/>
        <w:contextualSpacing/>
        <w:jc w:val="both"/>
        <w:rPr>
          <w:rFonts w:cstheme="minorHAnsi"/>
        </w:rPr>
      </w:pPr>
      <w:r>
        <w:rPr>
          <w:rFonts w:cstheme="minorHAnsi"/>
        </w:rPr>
        <w:t>Salvador/BA, 24 de março de 2026.</w:t>
      </w:r>
    </w:p>
    <w:p w14:paraId="44D52D9F">
      <w:pPr>
        <w:spacing w:before="120" w:after="120" w:line="240" w:lineRule="auto"/>
        <w:ind w:right="-1"/>
        <w:contextualSpacing/>
        <w:jc w:val="both"/>
        <w:rPr>
          <w:rFonts w:cstheme="minorHAnsi"/>
        </w:rPr>
      </w:pPr>
      <w:r>
        <w:rPr>
          <w:rFonts w:cstheme="minorHAnsi"/>
        </w:rPr>
        <w:t>Solicitado por:</w:t>
      </w:r>
    </w:p>
    <w:p w14:paraId="6496D919">
      <w:pPr>
        <w:spacing w:before="120" w:after="120" w:line="240" w:lineRule="auto"/>
        <w:ind w:right="-1"/>
        <w:contextualSpacing/>
        <w:jc w:val="both"/>
        <w:rPr>
          <w:rFonts w:cstheme="minorHAnsi"/>
        </w:rPr>
      </w:pPr>
    </w:p>
    <w:p w14:paraId="0BF82F13">
      <w:pPr>
        <w:spacing w:before="120" w:after="120" w:line="240" w:lineRule="auto"/>
        <w:ind w:right="-1"/>
        <w:contextualSpacing/>
        <w:jc w:val="both"/>
        <w:rPr>
          <w:rFonts w:cstheme="minorHAnsi"/>
          <w:b/>
        </w:rPr>
      </w:pPr>
    </w:p>
    <w:p w14:paraId="31B47AB2">
      <w:pPr>
        <w:tabs>
          <w:tab w:val="left" w:pos="0"/>
        </w:tabs>
        <w:spacing w:before="120" w:after="120" w:line="240" w:lineRule="auto"/>
        <w:ind w:right="-1"/>
        <w:contextualSpacing/>
        <w:rPr>
          <w:rFonts w:cstheme="minorHAnsi"/>
          <w:b/>
        </w:rPr>
      </w:pPr>
    </w:p>
    <w:p w14:paraId="591AAD09">
      <w:pPr>
        <w:tabs>
          <w:tab w:val="left" w:pos="0"/>
        </w:tabs>
        <w:spacing w:before="120" w:after="120" w:line="240" w:lineRule="auto"/>
        <w:ind w:right="-1"/>
        <w:contextualSpacing/>
        <w:rPr>
          <w:rFonts w:cstheme="minorHAnsi"/>
          <w:b/>
        </w:rPr>
      </w:pPr>
      <w:r>
        <w:rPr>
          <w:rFonts w:cstheme="minorHAnsi"/>
          <w:b/>
        </w:rPr>
        <w:t xml:space="preserve">João Paulo Alves </w:t>
      </w:r>
    </w:p>
    <w:p w14:paraId="3B0386BC">
      <w:pPr>
        <w:tabs>
          <w:tab w:val="left" w:pos="0"/>
        </w:tabs>
        <w:spacing w:before="120" w:after="120" w:line="240" w:lineRule="auto"/>
        <w:ind w:right="-1"/>
        <w:contextualSpacing/>
        <w:rPr>
          <w:rFonts w:cstheme="minorHAnsi"/>
          <w:bCs/>
        </w:rPr>
      </w:pPr>
      <w:r>
        <w:rPr>
          <w:rFonts w:cstheme="minorHAnsi"/>
          <w:bCs/>
        </w:rPr>
        <w:t>Coordenação de Suprimentos/HAN</w:t>
      </w:r>
    </w:p>
    <w:p w14:paraId="32785040">
      <w:pPr>
        <w:spacing w:before="120" w:after="120" w:line="240" w:lineRule="auto"/>
        <w:ind w:right="-1"/>
        <w:contextualSpacing/>
        <w:rPr>
          <w:rFonts w:cstheme="minorHAnsi"/>
          <w:b/>
        </w:rPr>
      </w:pPr>
    </w:p>
    <w:p w14:paraId="71DF1A2F">
      <w:pPr>
        <w:spacing w:before="120" w:after="120" w:line="240" w:lineRule="auto"/>
        <w:ind w:right="-1"/>
        <w:contextualSpacing/>
        <w:rPr>
          <w:rFonts w:cstheme="minorHAnsi"/>
          <w:b/>
        </w:rPr>
      </w:pPr>
    </w:p>
    <w:p w14:paraId="3442A3EC">
      <w:pPr>
        <w:spacing w:before="120" w:after="120" w:line="240" w:lineRule="auto"/>
        <w:ind w:right="-1"/>
        <w:contextualSpacing/>
        <w:rPr>
          <w:rFonts w:cstheme="minorHAnsi"/>
          <w:b/>
        </w:rPr>
      </w:pPr>
    </w:p>
    <w:p w14:paraId="62D10CAE">
      <w:pPr>
        <w:spacing w:before="120" w:after="120" w:line="240" w:lineRule="auto"/>
        <w:ind w:right="-1"/>
        <w:contextualSpacing/>
        <w:rPr>
          <w:rFonts w:cstheme="minorHAnsi"/>
          <w:b/>
        </w:rPr>
      </w:pPr>
    </w:p>
    <w:p w14:paraId="68B5A43C">
      <w:pPr>
        <w:spacing w:before="120" w:after="120" w:line="240" w:lineRule="auto"/>
        <w:ind w:right="-1"/>
        <w:contextualSpacing/>
        <w:rPr>
          <w:rFonts w:cstheme="minorHAnsi"/>
          <w:b/>
        </w:rPr>
      </w:pPr>
    </w:p>
    <w:p w14:paraId="48B0B963">
      <w:pPr>
        <w:tabs>
          <w:tab w:val="left" w:pos="0"/>
        </w:tabs>
        <w:spacing w:before="120" w:after="120" w:line="240" w:lineRule="auto"/>
        <w:ind w:right="-1"/>
        <w:contextualSpacing/>
        <w:rPr>
          <w:rFonts w:cstheme="minorHAnsi"/>
          <w:b/>
        </w:rPr>
      </w:pPr>
      <w:r>
        <w:rPr>
          <w:rFonts w:cstheme="minorHAnsi"/>
          <w:b/>
        </w:rPr>
        <w:t>Jefferson Gama</w:t>
      </w:r>
    </w:p>
    <w:p w14:paraId="12E5B8E5">
      <w:pPr>
        <w:tabs>
          <w:tab w:val="left" w:pos="0"/>
        </w:tabs>
        <w:spacing w:before="120" w:after="120" w:line="240" w:lineRule="auto"/>
        <w:ind w:right="-1"/>
        <w:contextualSpacing/>
        <w:rPr>
          <w:rFonts w:cstheme="minorHAnsi"/>
          <w:bCs/>
        </w:rPr>
      </w:pPr>
      <w:r>
        <w:rPr>
          <w:rFonts w:cstheme="minorHAnsi"/>
          <w:bCs/>
        </w:rPr>
        <w:t>Gerente de Suprimentos / HAN</w:t>
      </w:r>
    </w:p>
    <w:p w14:paraId="36DE093B">
      <w:pPr>
        <w:tabs>
          <w:tab w:val="left" w:pos="0"/>
        </w:tabs>
        <w:spacing w:before="120" w:after="120" w:line="240" w:lineRule="auto"/>
        <w:ind w:right="-1"/>
        <w:contextualSpacing/>
        <w:rPr>
          <w:rFonts w:cstheme="minorHAnsi"/>
          <w:b/>
        </w:rPr>
      </w:pPr>
    </w:p>
    <w:p w14:paraId="53F4D06A">
      <w:pPr>
        <w:tabs>
          <w:tab w:val="left" w:pos="0"/>
        </w:tabs>
        <w:spacing w:before="120" w:after="120" w:line="240" w:lineRule="auto"/>
        <w:ind w:right="-1"/>
        <w:contextualSpacing/>
        <w:jc w:val="center"/>
        <w:rPr>
          <w:rFonts w:cstheme="minorHAnsi"/>
          <w:b/>
        </w:rPr>
      </w:pPr>
    </w:p>
    <w:p w14:paraId="2B63C01D">
      <w:pPr>
        <w:tabs>
          <w:tab w:val="left" w:pos="0"/>
        </w:tabs>
        <w:spacing w:before="120" w:after="120" w:line="240" w:lineRule="auto"/>
        <w:ind w:right="-1"/>
        <w:contextualSpacing/>
        <w:jc w:val="center"/>
        <w:rPr>
          <w:rFonts w:cstheme="minorHAnsi"/>
          <w:b/>
        </w:rPr>
      </w:pPr>
    </w:p>
    <w:p w14:paraId="3FACA994">
      <w:pPr>
        <w:tabs>
          <w:tab w:val="left" w:pos="0"/>
        </w:tabs>
        <w:spacing w:before="120" w:after="120" w:line="240" w:lineRule="auto"/>
        <w:ind w:right="-1"/>
        <w:contextualSpacing/>
        <w:jc w:val="center"/>
        <w:rPr>
          <w:rFonts w:cstheme="minorHAnsi"/>
          <w:b/>
        </w:rPr>
      </w:pPr>
    </w:p>
    <w:p w14:paraId="6C132743">
      <w:pPr>
        <w:tabs>
          <w:tab w:val="left" w:pos="0"/>
        </w:tabs>
        <w:spacing w:before="120" w:after="120" w:line="240" w:lineRule="auto"/>
        <w:ind w:right="-1"/>
        <w:contextualSpacing/>
        <w:jc w:val="center"/>
        <w:rPr>
          <w:rFonts w:cstheme="minorHAnsi"/>
          <w:b/>
        </w:rPr>
      </w:pPr>
    </w:p>
    <w:p w14:paraId="06A975CA">
      <w:pPr>
        <w:tabs>
          <w:tab w:val="left" w:pos="0"/>
        </w:tabs>
        <w:spacing w:before="120" w:after="120" w:line="240" w:lineRule="auto"/>
        <w:ind w:right="-1"/>
        <w:contextualSpacing/>
        <w:jc w:val="center"/>
        <w:rPr>
          <w:rFonts w:cstheme="minorHAnsi"/>
          <w:b/>
        </w:rPr>
      </w:pPr>
    </w:p>
    <w:p w14:paraId="49281CD0">
      <w:pPr>
        <w:spacing w:before="120" w:after="120" w:line="240" w:lineRule="auto"/>
        <w:ind w:right="-1"/>
        <w:contextualSpacing/>
        <w:jc w:val="right"/>
        <w:rPr>
          <w:rFonts w:eastAsia="Calibri" w:cstheme="minorHAnsi"/>
        </w:rPr>
      </w:pPr>
      <w:r>
        <w:rPr>
          <w:rFonts w:eastAsia="Calibri" w:cstheme="minorHAnsi"/>
          <w:iCs/>
        </w:rPr>
        <w:t>APROVO O PRESENTE TERMO DE REFERÊNCIA</w:t>
      </w:r>
    </w:p>
    <w:p w14:paraId="734BD1C7">
      <w:pPr>
        <w:autoSpaceDE w:val="0"/>
        <w:autoSpaceDN w:val="0"/>
        <w:adjustRightInd w:val="0"/>
        <w:spacing w:before="120" w:after="120" w:line="240" w:lineRule="auto"/>
        <w:ind w:right="-1"/>
        <w:contextualSpacing/>
        <w:jc w:val="right"/>
        <w:rPr>
          <w:rFonts w:eastAsia="Calibri" w:cstheme="minorHAnsi"/>
          <w:iCs/>
        </w:rPr>
      </w:pPr>
      <w:r>
        <w:rPr>
          <w:rFonts w:eastAsia="Calibri" w:cstheme="minorHAnsi"/>
          <w:iCs/>
        </w:rPr>
        <w:t>E AUTORIZO A REALIZAÇÃO DA LICITAÇÃO.</w:t>
      </w:r>
    </w:p>
    <w:p w14:paraId="25D620DB">
      <w:pPr>
        <w:autoSpaceDE w:val="0"/>
        <w:autoSpaceDN w:val="0"/>
        <w:adjustRightInd w:val="0"/>
        <w:spacing w:before="120" w:after="120" w:line="240" w:lineRule="auto"/>
        <w:ind w:right="-1"/>
        <w:contextualSpacing/>
        <w:jc w:val="right"/>
        <w:rPr>
          <w:rFonts w:eastAsia="Calibri" w:cstheme="minorHAnsi"/>
          <w:b/>
          <w:bCs/>
          <w:iCs/>
        </w:rPr>
      </w:pPr>
    </w:p>
    <w:p w14:paraId="2EAE33D5">
      <w:pPr>
        <w:autoSpaceDE w:val="0"/>
        <w:autoSpaceDN w:val="0"/>
        <w:adjustRightInd w:val="0"/>
        <w:spacing w:before="120" w:after="120" w:line="240" w:lineRule="auto"/>
        <w:ind w:right="-1"/>
        <w:contextualSpacing/>
        <w:jc w:val="right"/>
        <w:rPr>
          <w:rFonts w:eastAsia="Calibri" w:cstheme="minorHAnsi"/>
          <w:b/>
          <w:bCs/>
          <w:iCs/>
        </w:rPr>
      </w:pPr>
    </w:p>
    <w:p w14:paraId="05A688D3">
      <w:pPr>
        <w:autoSpaceDE w:val="0"/>
        <w:autoSpaceDN w:val="0"/>
        <w:adjustRightInd w:val="0"/>
        <w:spacing w:before="120" w:after="120" w:line="240" w:lineRule="auto"/>
        <w:ind w:right="-1"/>
        <w:contextualSpacing/>
        <w:jc w:val="right"/>
        <w:rPr>
          <w:rFonts w:eastAsia="Calibri" w:cstheme="minorHAnsi"/>
          <w:b/>
          <w:bCs/>
          <w:iCs/>
        </w:rPr>
      </w:pPr>
    </w:p>
    <w:p w14:paraId="6DF6CC99">
      <w:pPr>
        <w:autoSpaceDE w:val="0"/>
        <w:autoSpaceDN w:val="0"/>
        <w:adjustRightInd w:val="0"/>
        <w:spacing w:before="120" w:after="120" w:line="240" w:lineRule="auto"/>
        <w:ind w:right="-1"/>
        <w:contextualSpacing/>
        <w:jc w:val="right"/>
        <w:rPr>
          <w:rFonts w:eastAsia="Calibri" w:cstheme="minorHAnsi"/>
          <w:b/>
          <w:bCs/>
          <w:iCs/>
        </w:rPr>
      </w:pPr>
    </w:p>
    <w:p w14:paraId="0E58CA13">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________________________________</w:t>
      </w:r>
    </w:p>
    <w:p w14:paraId="71E8DDA8">
      <w:pPr>
        <w:autoSpaceDE w:val="0"/>
        <w:autoSpaceDN w:val="0"/>
        <w:adjustRightInd w:val="0"/>
        <w:spacing w:before="120" w:after="120" w:line="240" w:lineRule="auto"/>
        <w:ind w:right="-1"/>
        <w:contextualSpacing/>
        <w:jc w:val="right"/>
        <w:rPr>
          <w:rFonts w:eastAsia="Calibri" w:cstheme="minorHAnsi"/>
        </w:rPr>
      </w:pPr>
      <w:r>
        <w:rPr>
          <w:rFonts w:eastAsia="Calibri" w:cstheme="minorHAnsi"/>
          <w:b/>
          <w:bCs/>
        </w:rPr>
        <w:t>Dr. Luiz Carlos Santana Passos</w:t>
      </w:r>
    </w:p>
    <w:p w14:paraId="05D5EBCD">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Diretor Geral – HAN.</w:t>
      </w:r>
    </w:p>
    <w:p w14:paraId="31FB2BB4">
      <w:pPr>
        <w:spacing w:before="120" w:after="120" w:line="240" w:lineRule="auto"/>
        <w:ind w:right="-1"/>
        <w:contextualSpacing/>
        <w:jc w:val="right"/>
        <w:rPr>
          <w:rFonts w:eastAsia="Calibri" w:cstheme="minorHAnsi"/>
        </w:rPr>
      </w:pPr>
    </w:p>
    <w:p w14:paraId="242FAD04">
      <w:pPr>
        <w:spacing w:before="120" w:after="120" w:line="240" w:lineRule="auto"/>
        <w:ind w:right="-1"/>
        <w:contextualSpacing/>
        <w:jc w:val="right"/>
        <w:rPr>
          <w:rFonts w:eastAsia="Calibri" w:cstheme="minorHAnsi"/>
        </w:rPr>
      </w:pPr>
    </w:p>
    <w:p w14:paraId="541894B3">
      <w:pPr>
        <w:spacing w:before="120" w:after="120" w:line="240" w:lineRule="auto"/>
        <w:ind w:right="-1"/>
        <w:contextualSpacing/>
        <w:jc w:val="right"/>
        <w:rPr>
          <w:rFonts w:eastAsia="Calibri" w:cstheme="minorHAnsi"/>
        </w:rPr>
      </w:pPr>
    </w:p>
    <w:p w14:paraId="7073B7D5">
      <w:pPr>
        <w:spacing w:after="0" w:line="240" w:lineRule="auto"/>
        <w:jc w:val="center"/>
        <w:rPr>
          <w:rFonts w:cstheme="minorHAnsi"/>
          <w:b/>
          <w:bCs/>
        </w:rPr>
      </w:pPr>
      <w:r>
        <w:rPr>
          <w:rFonts w:cstheme="minorHAnsi"/>
          <w:b/>
          <w:bCs/>
        </w:rPr>
        <w:t xml:space="preserve">ESTUDO TÉCNICO PRELIMINAR </w:t>
      </w:r>
    </w:p>
    <w:p w14:paraId="728FAE7D">
      <w:pPr>
        <w:spacing w:after="0" w:line="240" w:lineRule="auto"/>
        <w:jc w:val="center"/>
        <w:rPr>
          <w:rFonts w:cstheme="minorHAnsi"/>
          <w:b/>
          <w:bCs/>
        </w:rPr>
      </w:pPr>
      <w:r>
        <w:rPr>
          <w:rFonts w:cstheme="minorHAnsi"/>
          <w:b/>
          <w:bCs/>
        </w:rPr>
        <w:t>AQUISIÇÃO POR REGISTRO DE PREÇO DE MATERIAL MÉDICO-HOSPITALAR (FIOS DE SUTURA).</w:t>
      </w:r>
    </w:p>
    <w:p w14:paraId="7C1D4D35">
      <w:pPr>
        <w:spacing w:after="0" w:line="240" w:lineRule="auto"/>
        <w:jc w:val="center"/>
        <w:rPr>
          <w:rFonts w:cstheme="minorHAnsi"/>
          <w:b/>
          <w:bCs/>
        </w:rPr>
      </w:pPr>
      <w:r>
        <w:rPr>
          <w:rFonts w:cstheme="minorHAnsi"/>
          <w:b/>
          <w:bCs/>
        </w:rPr>
        <w:t>ETP 13/2026</w:t>
      </w:r>
    </w:p>
    <w:p w14:paraId="23D56CC0">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OBJETO</w:t>
      </w:r>
    </w:p>
    <w:p w14:paraId="6D6C3DB4">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presente Estudo Técnico Preliminar tem como objeto a aquisição de materiais médico-hospitalares - </w:t>
      </w:r>
      <w:r>
        <w:rPr>
          <w:rFonts w:asciiTheme="minorHAnsi" w:hAnsiTheme="minorHAnsi" w:cstheme="minorHAnsi"/>
          <w:b/>
          <w:bCs/>
          <w:sz w:val="22"/>
          <w:szCs w:val="22"/>
        </w:rPr>
        <w:t>FIOS DE SUTURA</w:t>
      </w:r>
      <w:r>
        <w:rPr>
          <w:rFonts w:asciiTheme="minorHAnsi" w:hAnsiTheme="minorHAnsi" w:cstheme="minorHAnsi"/>
          <w:sz w:val="22"/>
          <w:szCs w:val="22"/>
        </w:rPr>
        <w:t>, por meio de processo licitatório, destinados a atender às necessidades assistenciais do Hospital Ana Nery, para o período estimado de 12 (doze) meses.</w:t>
      </w:r>
    </w:p>
    <w:p w14:paraId="626D8C32">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SUPORTE LEGAL</w:t>
      </w:r>
    </w:p>
    <w:p w14:paraId="2F7D27BD">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contratação será regida, fundamentalmente, pelos seguintes instrumentos legais:</w:t>
      </w:r>
    </w:p>
    <w:p w14:paraId="7D97A70B">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Lei nº 14.133, de 01/04/2021 - Lei Geral de Licitação e Contratos Administrativos;</w:t>
      </w:r>
    </w:p>
    <w:p w14:paraId="16320B43">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INSTRUÇÃO NORMATIVA SEGES/ME Nº 65, DE 7 DE JULHO DE 2021, dispõe sobre procedimentos administrativos básicos para a realização de pesquisa de preços para aquisição de bens e contratação de serviços em geral;</w:t>
      </w:r>
    </w:p>
    <w:p w14:paraId="79707999">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Instrução Normativa SLTI/MPOG n° 01, de 19 de janeiro de 2010, que dispõe sobre os critérios de sustentabilidade ambiental na aquisição de bens, contratação de serviços ou obras;</w:t>
      </w:r>
    </w:p>
    <w:p w14:paraId="0D3EFFE1">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Demais instrumentos normativos obrigatórios e aplicáveis ao objeto.</w:t>
      </w:r>
    </w:p>
    <w:p w14:paraId="2E884473">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ANÁLISE DA CONTRATAÇÃO ANTERIOR</w:t>
      </w:r>
    </w:p>
    <w:p w14:paraId="728AB72E">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observância à Lei nº 14.133/2021, que preconiza o planejamento estratégico e a análise crítica de soluções pretéritas, registra-se que as contratações formalizadas pelos Pregões Eletrônicos nº 112/2024 e 81/2025 supriram satisfatoriamente as demandas assistenciais do Hospital Ana Nery em seus respectivos períodos.</w:t>
      </w:r>
    </w:p>
    <w:p w14:paraId="5D1D1CC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evolução dos protocolos clínicos, a ampliação do portfólio de serviços e a análise técnica do consumo histórico demonstraram a necessidade de atualização do objeto. Diante dos princípios da eficiência e da continuidade do serviço público, a presente instrução promove a revisão e readequação de descritivos e quantitativos, visando alinhar o suprimento às atuais demandas reais das unidades assistenciais.</w:t>
      </w:r>
    </w:p>
    <w:p w14:paraId="4A9880C5">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Esta readequação fundamenta-se na busca pela segurança operacional garantindo o abastecimento regular e a reserva para contingências e na otimização econômica, assegurando que a futura contratação reflita a realidade técnica e normativa vigente, mitigando riscos de desabastecimento ou desperdício de recursos públicos.</w:t>
      </w:r>
    </w:p>
    <w:p w14:paraId="5C93A8A9">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DESCRIÇÃO DA NECESSIDADE</w:t>
      </w:r>
    </w:p>
    <w:p w14:paraId="3389D056">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Hospital Ana Nery (HAN), enquanto instituição de ensino e unidade de referência em cardiologia, nefrologia e cirurgia vascular, realiza procedimentos de média e alta complexidade que demandam suporte contínuo de materiais médico-hospitalares, em especial fios de sutura. A assistência prestada exclusivamente pelo Sistema Único de Saúde (SUS) nessas especialidades requer infraestrutura assistencial adequada, na qual a disponibilidade de fios de sutura apropriados é condição essencial para a segurança, recuperação e sobrevida dos pacientes.</w:t>
      </w:r>
    </w:p>
    <w:p w14:paraId="7065BA78">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presente aquisição tem por finalidade o suprimento de fios de sutura, indispensáveis à realização de procedimentos cirúrgicos e ambulatoriais, à síntese tecidual adequada, à hemostasia e à prevenção de complicações pós-operatórias, incluindo infecções e deiscências. O objetivo central é assegurar a eficácia dos atos cirúrgicos e a continuidade da assistência, reduzindo riscos de falhas técnicas ou eventos adversos que possam comprometer a segurança do paciente.</w:t>
      </w:r>
    </w:p>
    <w:p w14:paraId="0D779AA0">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contexto hospitalar, a qualidade dos fios de sutura está diretamente relacionada à sua funcionalidade, segurança e desempenho clínico. Os itens a serem adquiridos devem apresentar conformidade com as normas técnicas e sanitárias vigentes, contemplando requisitos de biocompatibilidade, resistência tênsil, previsibilidade de absorção (quando aplicável), esterilidade, integridade da embalagem e estabilidade durante o período de uso, garantindo resultados assistenciais consistentes e seguros.</w:t>
      </w:r>
    </w:p>
    <w:p w14:paraId="79451459">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quantitativos estimados foram definidos com base no histórico de consumo médio mensal, conforme dados fornecidos pelo Almoxarifado Central e pelas unidades assistenciais, considerando ainda a taxa de ocupação hospitalar, o perfil epidemiológico dos pacientes atendidos e a ampliação da oferta de serviços. O dimensionamento contempla o abastecimento contínuo de fios de sutura pelo período de 12 (doze) meses, incluindo margem de segurança para absorver variações sazonais e picos de demanda cirúrgica.</w:t>
      </w:r>
    </w:p>
    <w:p w14:paraId="19B9CE24">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definição da forma de aquisição será orientada por análise comparativa de custos, especificações técnicas e desempenho dos produtos, realizada na fase de pesquisa de preços/cotação, com o objetivo de identificar a alternativa mais vantajosa para a Administração Pública, em conformidade com os princípios da economicidade, eficiência e interesse público.</w:t>
      </w:r>
    </w:p>
    <w:p w14:paraId="64404AC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aquisição dos fios de sutura visa assegurar o abastecimento contínuo desses insumos essenciais, indispensáveis à realização de procedimentos cirúrgicos e ambulatoriais. Tais materiais são fundamentais para a adequada aproximação e síntese dos tecidos, hemostasia, prevenção de complicações pós-operatórias e redução do risco de infecções, contribuindo diretamente para a segurança do paciente, qualidade assistencial e continuidade dos serviços de saúde.</w:t>
      </w:r>
    </w:p>
    <w:p w14:paraId="5AEA2BFA">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Diante do exposto, a contratação mostra-se imprescindível para a manutenção da regularidade operacional e assistencial do Hospital Ana Nery. A aquisição de fios de sutura adequados e de qualidade reafirma o compromisso institucional com a excelência do cuidado, a segurança do paciente, a eficiência na aplicação dos recursos públicos e a prestação de atendimento humanizado à população usuária do SUS.</w:t>
      </w:r>
    </w:p>
    <w:p w14:paraId="29B40289">
      <w:pPr>
        <w:pStyle w:val="65"/>
        <w:numPr>
          <w:ilvl w:val="0"/>
          <w:numId w:val="11"/>
        </w:numPr>
        <w:shd w:val="clear" w:color="auto" w:fill="E7E6E6" w:themeFill="background2"/>
        <w:suppressAutoHyphens/>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JUSTIFICATIVA PARA A NÃO APLICAÇÃO DA RESERVA DE COTA DE ATÉ 25% PARA MICROEMPRESAS E EMPRESAS DE PEQUENO PORTE</w:t>
      </w:r>
    </w:p>
    <w:p w14:paraId="7D335085">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Preliminarmente, cumpre destacar que todo procedimento licitatório deve ser precedido de planejamento técnico compatível com a realidade da Administração Pública e com as necessidades das unidades solicitantes.</w:t>
      </w:r>
    </w:p>
    <w:p w14:paraId="409FF079">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30904AE4">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257BAEA6">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71545345">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1F943267">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Importante destacar que o próprio art. 49, inciso III, da Lei Complementar nº 123/2006, estabelece que:</w:t>
      </w:r>
    </w:p>
    <w:p w14:paraId="4FB9CB10">
      <w:pPr>
        <w:pStyle w:val="65"/>
        <w:spacing w:before="120" w:after="120"/>
        <w:ind w:left="2268"/>
        <w:contextualSpacing w:val="0"/>
        <w:jc w:val="both"/>
        <w:rPr>
          <w:rFonts w:asciiTheme="minorHAnsi" w:hAnsiTheme="minorHAnsi" w:cstheme="minorHAnsi"/>
          <w:sz w:val="22"/>
          <w:szCs w:val="22"/>
        </w:rPr>
      </w:pPr>
      <w:r>
        <w:rPr>
          <w:rFonts w:asciiTheme="minorHAnsi" w:hAnsiTheme="minorHAnsi" w:cstheme="minorHAnsi"/>
          <w:sz w:val="22"/>
          <w:szCs w:val="22"/>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6F28742D">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Nesse sentido, não se trata de uma simples opção administrativa, mas de respeito ao interesse público primário, ao planejamento eficiente e à economicidade, princípios expressamente previstos no art. 5º da Lei nº 14.133/2021.</w:t>
      </w:r>
    </w:p>
    <w:p w14:paraId="620649AF">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Diante de todo o exposto, fica justificada a não aplicação da reserva de cota de até 25% do objeto licitado para ME/EPP, em razão de:</w:t>
      </w:r>
    </w:p>
    <w:p w14:paraId="30020CCF">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Inviabilidade técnica e operacional no contexto do Registro de Preços;</w:t>
      </w:r>
    </w:p>
    <w:p w14:paraId="2CB30EF9">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Riscos à continuidade do fornecimento de insumos de saúde;</w:t>
      </w:r>
    </w:p>
    <w:p w14:paraId="347D137C">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Elevação de custos administrativos e logísticos;</w:t>
      </w:r>
    </w:p>
    <w:p w14:paraId="60304CDF">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Ausência de vantagem para a Administração Pública;</w:t>
      </w:r>
    </w:p>
    <w:p w14:paraId="61A417A6">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Potencial prejuízo ao conjunto do objeto a ser contratado.</w:t>
      </w:r>
    </w:p>
    <w:p w14:paraId="40135B46">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12D23691">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JUSTIFICATIVA PARA A VEDAÇÃO A ADESÃO A ATA DE REGISTRO DE PREÇO POR ÓRGÃOS NÃO PARTICIPANTES </w:t>
      </w:r>
    </w:p>
    <w:p w14:paraId="357B84C7">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26C1FDDD">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30E0C095">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3857EE9D">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4306ED84">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5B0A4489">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2CCE7739">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JUSTIFICATIVA PARA A NÃO EXIGÊNCIA DA GARANTIA DA CONTRATAÇÃO</w:t>
      </w:r>
    </w:p>
    <w:p w14:paraId="659C7228">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46AE2E67">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Contudo, no presente caso, opta-se por </w:t>
      </w:r>
      <w:r>
        <w:rPr>
          <w:rFonts w:asciiTheme="minorHAnsi" w:hAnsiTheme="minorHAnsi" w:cstheme="minorHAnsi"/>
          <w:b/>
          <w:bCs/>
          <w:sz w:val="22"/>
          <w:szCs w:val="22"/>
        </w:rPr>
        <w:t>não exigir a prestação de garantia</w:t>
      </w:r>
      <w:r>
        <w:rPr>
          <w:rFonts w:asciiTheme="minorHAnsi" w:hAnsiTheme="minorHAnsi" w:cstheme="minorHAnsi"/>
          <w:sz w:val="22"/>
          <w:szCs w:val="22"/>
        </w:rPr>
        <w:t xml:space="preserve"> da contratação, com base nas seguintes justificativas:</w:t>
      </w:r>
    </w:p>
    <w:p w14:paraId="1090106C">
      <w:pPr>
        <w:pStyle w:val="65"/>
        <w:numPr>
          <w:ilvl w:val="2"/>
          <w:numId w:val="11"/>
        </w:numPr>
        <w:suppressAutoHyphens/>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Tratamento por meio de sistema de registro de preços (SRP):</w:t>
      </w:r>
    </w:p>
    <w:p w14:paraId="32CC99F6">
      <w:pPr>
        <w:pStyle w:val="65"/>
        <w:numPr>
          <w:ilvl w:val="3"/>
          <w:numId w:val="11"/>
        </w:numPr>
        <w:tabs>
          <w:tab w:val="left" w:pos="709"/>
          <w:tab w:val="left" w:pos="993"/>
        </w:tabs>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54984B08">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
          <w:bCs/>
          <w:sz w:val="22"/>
          <w:szCs w:val="22"/>
        </w:rPr>
        <w:t>Inexistência de obrigação imediata</w:t>
      </w:r>
      <w:r>
        <w:rPr>
          <w:rFonts w:asciiTheme="minorHAnsi" w:hAnsiTheme="minorHAnsi" w:cstheme="minorHAnsi"/>
          <w:sz w:val="22"/>
          <w:szCs w:val="22"/>
        </w:rPr>
        <w:t>:</w:t>
      </w:r>
    </w:p>
    <w:p w14:paraId="096BCDDB">
      <w:pPr>
        <w:pStyle w:val="65"/>
        <w:numPr>
          <w:ilvl w:val="3"/>
          <w:numId w:val="11"/>
        </w:numPr>
        <w:tabs>
          <w:tab w:val="left" w:pos="709"/>
          <w:tab w:val="left" w:pos="993"/>
        </w:tabs>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18B5459F">
      <w:pPr>
        <w:pStyle w:val="65"/>
        <w:numPr>
          <w:ilvl w:val="2"/>
          <w:numId w:val="11"/>
        </w:numPr>
        <w:suppressAutoHyphens/>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Natureza dos itens e risco reduzido:</w:t>
      </w:r>
    </w:p>
    <w:p w14:paraId="223E27F2">
      <w:pPr>
        <w:pStyle w:val="65"/>
        <w:numPr>
          <w:ilvl w:val="3"/>
          <w:numId w:val="11"/>
        </w:numPr>
        <w:tabs>
          <w:tab w:val="left" w:pos="709"/>
          <w:tab w:val="left" w:pos="851"/>
        </w:tabs>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0586D354">
      <w:pPr>
        <w:pStyle w:val="65"/>
        <w:numPr>
          <w:ilvl w:val="2"/>
          <w:numId w:val="11"/>
        </w:numPr>
        <w:suppressAutoHyphens/>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Razoabilidade e fomento à competitividade:</w:t>
      </w:r>
    </w:p>
    <w:p w14:paraId="7C23CF1D">
      <w:pPr>
        <w:pStyle w:val="65"/>
        <w:numPr>
          <w:ilvl w:val="3"/>
          <w:numId w:val="11"/>
        </w:numPr>
        <w:tabs>
          <w:tab w:val="left" w:pos="851"/>
        </w:tabs>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03E8E9FC">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
          <w:bCs/>
          <w:sz w:val="22"/>
          <w:szCs w:val="22"/>
        </w:rPr>
        <w:t>Economia e desburocratização do processo licitatório</w:t>
      </w:r>
      <w:r>
        <w:rPr>
          <w:rFonts w:asciiTheme="minorHAnsi" w:hAnsiTheme="minorHAnsi" w:cstheme="minorHAnsi"/>
          <w:sz w:val="22"/>
          <w:szCs w:val="22"/>
        </w:rPr>
        <w:t>:</w:t>
      </w:r>
    </w:p>
    <w:p w14:paraId="15BF6928">
      <w:pPr>
        <w:pStyle w:val="65"/>
        <w:numPr>
          <w:ilvl w:val="3"/>
          <w:numId w:val="11"/>
        </w:numPr>
        <w:tabs>
          <w:tab w:val="left" w:pos="851"/>
        </w:tabs>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75AA9D2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Diante do exposto, e com fundamento no art. 96 da lei nº 14.133/2021, não será exigida a prestação de garantia de contratação neste procedimento licitatório, tendo em vista à modalidade de registro de preços, o risco reduzido do objeto, a inexistência de obrigação imediata, bem como a busca pela economicidade, desburocratização e ampliação da competitividade.</w:t>
      </w:r>
    </w:p>
    <w:p w14:paraId="3F71F9B2">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JUSTIFICATIVA PARA EVENTUAL EXIGÊNCIA DE AMOSTRA </w:t>
      </w:r>
    </w:p>
    <w:p w14:paraId="7D79C52F">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2A175959">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6254FA7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amostragem visa assegurar que os itens ofertados atendam aos critérios técnicos, funcionais e de segurança estabelecidos nas normas sanitárias, além de verificar sua compatibilidade com a rotina assistencial, os protocolos institucionais de controle de infecção e os equipamentos disponíveis no ambiente hospitalar. A solicitação de amostras é, portanto, essencial para subsidiar a decisão técnica quanto à escolha dos produtos mais adequados, garantindo a segurança dos pacientes, profissionais e ambientes hospitalares.</w:t>
      </w:r>
    </w:p>
    <w:p w14:paraId="5DE775C3">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ÁREA REQUISITANTE</w:t>
      </w:r>
    </w:p>
    <w:p w14:paraId="4A75F10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Aquisições solicitadas pelo Setor de Almoxarifado do Hospital Ana Nery.</w:t>
      </w:r>
    </w:p>
    <w:p w14:paraId="36D18844">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PLANEJAMENTO</w:t>
      </w:r>
    </w:p>
    <w:p w14:paraId="71F30396">
      <w:pPr>
        <w:pStyle w:val="65"/>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GESTÃO/UNIDADE: 15223/150247</w:t>
      </w:r>
    </w:p>
    <w:p w14:paraId="22012458">
      <w:pPr>
        <w:pStyle w:val="65"/>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PROGRAMA: Fortalecimento do Sistema Único de Saúde (SUS)</w:t>
      </w:r>
    </w:p>
    <w:p w14:paraId="49B1F6B3">
      <w:pPr>
        <w:pStyle w:val="65"/>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AÇÃO: Atenção à Saúde da População para Procedimentos em Média e Alta Complexidade</w:t>
      </w:r>
    </w:p>
    <w:p w14:paraId="77BFA860">
      <w:pPr>
        <w:pStyle w:val="65"/>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FONTE: Fundo Nacional da Saúde/Ministério da Saúde</w:t>
      </w:r>
    </w:p>
    <w:p w14:paraId="7621D319">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DESCRIÇÃO DOS REQUISITOS DA CONTRATAÇÃO</w:t>
      </w:r>
    </w:p>
    <w:p w14:paraId="06CC6B22">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contratada deverá:</w:t>
      </w:r>
    </w:p>
    <w:p w14:paraId="4337D251">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Entregar os itens conforme especificações deste Estudo Técnico Preliminar, do contrato, com os recursos necessários ao perfeito cumprimento das cláusulas contratuais;</w:t>
      </w:r>
    </w:p>
    <w:p w14:paraId="1AC665B6">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Fornecer o material, na qualidade e quantidade especificada, nos termos de sua proposta;</w:t>
      </w:r>
    </w:p>
    <w:p w14:paraId="40B39114">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559AF99A">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72B86E42">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32E2935B">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Responsabilizar-se por todas as obrigações trabalhistas, sociais, previdenciárias, tributárias e as demais previstas na legislação específica, cuja inadimplência não transfere responsabilidade à Administração;</w:t>
      </w:r>
    </w:p>
    <w:p w14:paraId="64CF0DA6">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Empresa deverá manter, durante toda a execução do contrato, compatibilidade com as obrigações assumidas, relacionadas neste Estudo Técnico preliminar e no contrato;</w:t>
      </w:r>
    </w:p>
    <w:p w14:paraId="1F733F2B">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Estudo Técnico Preliminar e no contrato.</w:t>
      </w:r>
    </w:p>
    <w:p w14:paraId="0DB26696">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1BC3ED99">
      <w:pPr>
        <w:pStyle w:val="65"/>
        <w:numPr>
          <w:ilvl w:val="2"/>
          <w:numId w:val="11"/>
        </w:numPr>
        <w:tabs>
          <w:tab w:val="left" w:pos="993"/>
        </w:tabs>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Prestar todos os esclarecimentos que forem solicitados pelo Hospital, cujas reclamações se obrigam prontamente a atender.</w:t>
      </w:r>
    </w:p>
    <w:p w14:paraId="6AEC0E2A">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São expressamente vedadas à Empresa:</w:t>
      </w:r>
    </w:p>
    <w:p w14:paraId="1FF02C5C">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veiculação de publicidade acerca deste Estudo Técnico Preliminar e do contrato, salvo se houver prévia autorização da Administração;</w:t>
      </w:r>
    </w:p>
    <w:p w14:paraId="7D490F09">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transferência de qualquer de suas responsabilidades para outras entidades, sejam fabricantes, técnicos, subempreiteiros etc.</w:t>
      </w:r>
    </w:p>
    <w:p w14:paraId="0471E50C">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LEVANTAMENTO DE MERCADO </w:t>
      </w:r>
    </w:p>
    <w:p w14:paraId="606C3578">
      <w:pPr>
        <w:pStyle w:val="65"/>
        <w:numPr>
          <w:ilvl w:val="1"/>
          <w:numId w:val="11"/>
        </w:numPr>
        <w:suppressAutoHyphens/>
        <w:spacing w:before="120" w:after="120" w:line="276"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levantamento de mercado realizado para instrução deste processo licitatório ( Sistema de Registro de Preços) foram realizadas consultas a fornecedores, catálogos de insumos médicos e análise das especificações disponíveis no mercado. Esse levantamento evidenciou que os insumos demandados possuem características técnico</w:t>
      </w:r>
      <w:r>
        <w:rPr>
          <w:rFonts w:asciiTheme="minorHAnsi" w:hAnsiTheme="minorHAnsi" w:cstheme="minorHAnsi"/>
          <w:sz w:val="22"/>
          <w:szCs w:val="22"/>
        </w:rPr>
        <w:noBreakHyphen/>
      </w:r>
      <w:r>
        <w:rPr>
          <w:rFonts w:asciiTheme="minorHAnsi" w:hAnsiTheme="minorHAnsi" w:cstheme="minorHAnsi"/>
          <w:sz w:val="22"/>
          <w:szCs w:val="22"/>
        </w:rPr>
        <w:t>funcionais altamente específicas necessárias para atendimento dos protocolos clínicos e operacionais do HAN, não foram identificadas alternativas técnicas que, comprovadamente, apresentem desempenho equivalente sem risco assistencial, conforme análise técnica da área demandante.</w:t>
      </w:r>
    </w:p>
    <w:p w14:paraId="4A9EA43A">
      <w:pPr>
        <w:pStyle w:val="65"/>
        <w:numPr>
          <w:ilvl w:val="1"/>
          <w:numId w:val="11"/>
        </w:numPr>
        <w:suppressAutoHyphens/>
        <w:spacing w:before="120" w:after="120" w:line="276"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face disso, concluiu-se que os produtos com especificações técnicas equivalentes às descritas são os que atendem às exigências às de desempenho e conformidade regulatória da unidade. Não se identificou alternativa técnica ou funcional que possa substituí</w:t>
      </w:r>
      <w:r>
        <w:rPr>
          <w:rFonts w:asciiTheme="minorHAnsi" w:hAnsiTheme="minorHAnsi" w:cstheme="minorHAnsi"/>
          <w:sz w:val="22"/>
          <w:szCs w:val="22"/>
        </w:rPr>
        <w:noBreakHyphen/>
      </w:r>
      <w:r>
        <w:rPr>
          <w:rFonts w:asciiTheme="minorHAnsi" w:hAnsiTheme="minorHAnsi" w:cstheme="minorHAnsi"/>
          <w:sz w:val="22"/>
          <w:szCs w:val="22"/>
        </w:rPr>
        <w:t>los sem risco à compatibilidade com os protocolos vigentes e à segurança de pacientes e equipe de saúde. A constatação justifica a especificação direta dos itens, assegurando o pleno atendimento às necessidades assistenciais e o cumprimento da finalidade pública para a qual se destina a contratação.</w:t>
      </w:r>
    </w:p>
    <w:p w14:paraId="346B7ECE">
      <w:pPr>
        <w:pStyle w:val="65"/>
        <w:numPr>
          <w:ilvl w:val="0"/>
          <w:numId w:val="11"/>
        </w:numPr>
        <w:shd w:val="clear" w:color="auto" w:fill="E7E6E6" w:themeFill="background2"/>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DESCRIÇÃO DA SOLUÇÃO COMO UM TODO  </w:t>
      </w:r>
    </w:p>
    <w:p w14:paraId="016F8264">
      <w:pPr>
        <w:pStyle w:val="28"/>
        <w:numPr>
          <w:ilvl w:val="1"/>
          <w:numId w:val="11"/>
        </w:numPr>
        <w:suppressAutoHyphens/>
        <w:spacing w:before="120" w:beforeAutospacing="0" w:after="120" w:afterAutospacing="0"/>
        <w:ind w:left="0" w:firstLine="0"/>
        <w:jc w:val="both"/>
        <w:rPr>
          <w:rFonts w:asciiTheme="minorHAnsi" w:hAnsiTheme="minorHAnsi" w:cstheme="minorHAnsi"/>
          <w:sz w:val="22"/>
          <w:szCs w:val="22"/>
        </w:rPr>
      </w:pPr>
      <w:r>
        <w:rPr>
          <w:rFonts w:asciiTheme="minorHAnsi" w:hAnsiTheme="minorHAnsi" w:cstheme="minorHAnsi"/>
          <w:sz w:val="22"/>
          <w:szCs w:val="22"/>
        </w:rPr>
        <w:t xml:space="preserve">A presente contratação tem por objetivo a aquisição de </w:t>
      </w:r>
      <w:r>
        <w:rPr>
          <w:rStyle w:val="13"/>
          <w:rFonts w:asciiTheme="minorHAnsi" w:hAnsiTheme="minorHAnsi" w:cstheme="minorHAnsi"/>
          <w:sz w:val="22"/>
          <w:szCs w:val="22"/>
        </w:rPr>
        <w:t>fios de sutura</w:t>
      </w:r>
      <w:r>
        <w:rPr>
          <w:rFonts w:asciiTheme="minorHAnsi" w:hAnsiTheme="minorHAnsi" w:cstheme="minorHAnsi"/>
          <w:sz w:val="22"/>
          <w:szCs w:val="22"/>
        </w:rPr>
        <w:t xml:space="preserve">, de uso essencial e contínuo, indispensáveis à manutenção da assistência à saúde no </w:t>
      </w:r>
      <w:r>
        <w:rPr>
          <w:rStyle w:val="214"/>
          <w:rFonts w:asciiTheme="minorHAnsi" w:hAnsiTheme="minorHAnsi" w:cstheme="minorHAnsi"/>
          <w:sz w:val="22"/>
          <w:szCs w:val="22"/>
        </w:rPr>
        <w:t>Hospital Ana Nery</w:t>
      </w:r>
      <w:r>
        <w:rPr>
          <w:rFonts w:asciiTheme="minorHAnsi" w:hAnsiTheme="minorHAnsi" w:cstheme="minorHAnsi"/>
          <w:sz w:val="22"/>
          <w:szCs w:val="22"/>
        </w:rPr>
        <w:t xml:space="preserve"> (HAN). Os itens são padronizados na unidade e utilizados rotineiramente nas áreas assistenciais, como centro cirúrgico, unidades de terapia intensiva, enfermarias e ambulatórios, garantindo a continuidade dos atendimentos e a adequada execução dos procedimentos assistenciais.</w:t>
      </w:r>
    </w:p>
    <w:p w14:paraId="4D2A2BCC">
      <w:pPr>
        <w:pStyle w:val="28"/>
        <w:numPr>
          <w:ilvl w:val="1"/>
          <w:numId w:val="11"/>
        </w:numPr>
        <w:suppressAutoHyphens/>
        <w:spacing w:before="120" w:beforeAutospacing="0" w:after="120" w:afterAutospacing="0"/>
        <w:ind w:left="0" w:firstLine="0"/>
        <w:jc w:val="both"/>
        <w:rPr>
          <w:rFonts w:asciiTheme="minorHAnsi" w:hAnsiTheme="minorHAnsi" w:cstheme="minorHAnsi"/>
          <w:sz w:val="22"/>
          <w:szCs w:val="22"/>
        </w:rPr>
      </w:pPr>
      <w:r>
        <w:rPr>
          <w:rFonts w:asciiTheme="minorHAnsi" w:hAnsiTheme="minorHAnsi" w:cstheme="minorHAnsi"/>
          <w:sz w:val="22"/>
          <w:szCs w:val="22"/>
        </w:rPr>
        <w:t>Os fios de sutura destinam-se à aproximação de tecidos, hemostasia, ligaduras e fechamento de incisões cirúrgicas, contribuindo para a adequada cicatrização, redução de complicações pós-operatórias e segurança do paciente. Sua utilização é indispensável nos procedimentos de média e alta complexidade realizados na unidade.</w:t>
      </w:r>
    </w:p>
    <w:p w14:paraId="3501D527">
      <w:pPr>
        <w:pStyle w:val="28"/>
        <w:numPr>
          <w:ilvl w:val="1"/>
          <w:numId w:val="11"/>
        </w:numPr>
        <w:suppressAutoHyphens/>
        <w:spacing w:before="120" w:beforeAutospacing="0" w:after="120" w:afterAutospacing="0"/>
        <w:ind w:left="0" w:firstLine="0"/>
        <w:jc w:val="both"/>
        <w:rPr>
          <w:rFonts w:asciiTheme="minorHAnsi" w:hAnsiTheme="minorHAnsi" w:cstheme="minorHAnsi"/>
          <w:sz w:val="22"/>
          <w:szCs w:val="22"/>
        </w:rPr>
      </w:pPr>
      <w:r>
        <w:rPr>
          <w:rFonts w:asciiTheme="minorHAnsi" w:hAnsiTheme="minorHAnsi" w:cstheme="minorHAnsi"/>
          <w:sz w:val="22"/>
          <w:szCs w:val="22"/>
        </w:rPr>
        <w:t>A padronização desses materiais contribui para a uniformidade das condutas assistenciais, redução de desperdícios, melhor controle logístico e previsibilidade do consumo, além de favorecer a segurança do paciente e a prevenção de infecções relacionadas à assistência à saúde.</w:t>
      </w:r>
    </w:p>
    <w:p w14:paraId="342363AA">
      <w:pPr>
        <w:pStyle w:val="28"/>
        <w:numPr>
          <w:ilvl w:val="1"/>
          <w:numId w:val="11"/>
        </w:numPr>
        <w:suppressAutoHyphens/>
        <w:spacing w:before="120" w:beforeAutospacing="0" w:after="120" w:afterAutospacing="0"/>
        <w:ind w:left="0" w:firstLine="0"/>
        <w:jc w:val="both"/>
        <w:rPr>
          <w:rFonts w:asciiTheme="minorHAnsi" w:hAnsiTheme="minorHAnsi" w:cstheme="minorHAnsi"/>
          <w:sz w:val="22"/>
          <w:szCs w:val="22"/>
        </w:rPr>
      </w:pPr>
      <w:r>
        <w:rPr>
          <w:rFonts w:asciiTheme="minorHAnsi" w:hAnsiTheme="minorHAnsi" w:cstheme="minorHAnsi"/>
          <w:sz w:val="22"/>
          <w:szCs w:val="22"/>
        </w:rPr>
        <w:t>Os materiais deverão ser fornecidos em perfeitas condições de uso, com validade compatível com as normas sanitárias vigentes, embalagens íntegras, identificadas e invioladas, contendo informações claras quanto ao tipo de fio (absorvível ou não absorvível), composição, calibre, comprimento e características da agulha. A empresa contratada deverá disponibilizar, quando necessário, orientações técnicas quanto ao manuseio e armazenamento dos produtos.</w:t>
      </w:r>
    </w:p>
    <w:p w14:paraId="53D9A1FD">
      <w:pPr>
        <w:pStyle w:val="28"/>
        <w:numPr>
          <w:ilvl w:val="1"/>
          <w:numId w:val="11"/>
        </w:numPr>
        <w:suppressAutoHyphens/>
        <w:spacing w:before="120" w:beforeAutospacing="0" w:after="120" w:afterAutospacing="0"/>
        <w:ind w:left="0" w:firstLine="0"/>
        <w:jc w:val="both"/>
        <w:rPr>
          <w:rFonts w:asciiTheme="minorHAnsi" w:hAnsiTheme="minorHAnsi" w:cstheme="minorHAnsi"/>
          <w:sz w:val="22"/>
          <w:szCs w:val="22"/>
        </w:rPr>
      </w:pPr>
      <w:r>
        <w:rPr>
          <w:rFonts w:asciiTheme="minorHAnsi" w:hAnsiTheme="minorHAnsi" w:cstheme="minorHAnsi"/>
          <w:sz w:val="22"/>
          <w:szCs w:val="22"/>
        </w:rPr>
        <w:t>As quantidades previstas possuem caráter estimativo, podendo variar conforme a demanda assistencial, devendo o acondicionamento garantir a integridade dos produtos durante o transporte e armazenamento.</w:t>
      </w:r>
    </w:p>
    <w:p w14:paraId="1D4B605D">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ESTIMATIVA DAS QUANTIDADES A SEREM CONTRATADAS   </w:t>
      </w:r>
    </w:p>
    <w:p w14:paraId="370A01BB">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metodologia para estimativa das quantidades lançadas neste processo, referente à aquisição de materiais, levou em consideração: </w:t>
      </w:r>
    </w:p>
    <w:p w14:paraId="59C7B323">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histórico de consumo destes insumos ao longo do ano anterior, as eventuais sazonalidades nos consumos dos itens, bem como a crescente curva de produtividade deste hospital na realização de procedimentos de alta complexidade.</w:t>
      </w:r>
    </w:p>
    <w:p w14:paraId="3293D38D">
      <w:pPr>
        <w:pStyle w:val="65"/>
        <w:spacing w:before="120" w:after="120"/>
        <w:ind w:left="0"/>
        <w:contextualSpacing w:val="0"/>
        <w:jc w:val="center"/>
        <w:rPr>
          <w:rFonts w:asciiTheme="minorHAnsi" w:hAnsiTheme="minorHAnsi" w:cstheme="minorHAnsi"/>
          <w:b/>
          <w:bCs/>
          <w:color w:val="000000" w:themeColor="text1"/>
          <w:sz w:val="22"/>
          <w:szCs w:val="22"/>
          <w14:textFill>
            <w14:solidFill>
              <w14:schemeClr w14:val="tx1"/>
            </w14:solidFill>
          </w14:textFill>
        </w:rPr>
      </w:pPr>
      <w:r>
        <w:rPr>
          <w:rFonts w:asciiTheme="minorHAnsi" w:hAnsiTheme="minorHAnsi" w:cstheme="minorHAnsi"/>
          <w:b/>
          <w:bCs/>
          <w:sz w:val="22"/>
          <w:szCs w:val="22"/>
        </w:rPr>
        <w:t xml:space="preserve">RELAÇÃO </w:t>
      </w:r>
      <w:r>
        <w:rPr>
          <w:rFonts w:asciiTheme="minorHAnsi" w:hAnsiTheme="minorHAnsi" w:cstheme="minorHAnsi"/>
          <w:b/>
          <w:bCs/>
          <w:color w:val="000000" w:themeColor="text1"/>
          <w:sz w:val="22"/>
          <w:szCs w:val="22"/>
          <w14:textFill>
            <w14:solidFill>
              <w14:schemeClr w14:val="tx1"/>
            </w14:solidFill>
          </w14:textFill>
        </w:rPr>
        <w:t>DE INSUMOS</w:t>
      </w:r>
    </w:p>
    <w:tbl>
      <w:tblPr>
        <w:tblStyle w:val="12"/>
        <w:tblW w:w="9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21"/>
        <w:gridCol w:w="850"/>
        <w:gridCol w:w="851"/>
        <w:gridCol w:w="3019"/>
        <w:gridCol w:w="992"/>
        <w:gridCol w:w="851"/>
        <w:gridCol w:w="1041"/>
        <w:gridCol w:w="29"/>
        <w:gridCol w:w="1558"/>
        <w:gridCol w:w="14"/>
      </w:tblGrid>
      <w:tr w14:paraId="357F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cantSplit/>
          <w:trHeight w:val="719" w:hRule="atLeast"/>
          <w:jc w:val="center"/>
        </w:trPr>
        <w:tc>
          <w:tcPr>
            <w:tcW w:w="421" w:type="dxa"/>
            <w:tcBorders>
              <w:top w:val="single" w:color="auto" w:sz="4" w:space="0"/>
              <w:left w:val="single" w:color="auto" w:sz="4" w:space="0"/>
              <w:bottom w:val="single" w:color="auto" w:sz="4" w:space="0"/>
              <w:right w:val="single" w:color="auto" w:sz="4" w:space="0"/>
            </w:tcBorders>
            <w:shd w:val="clear" w:color="auto" w:fill="F1F1F1" w:themeFill="background1" w:themeFillShade="F2"/>
            <w:textDirection w:val="btLr"/>
            <w:vAlign w:val="center"/>
          </w:tcPr>
          <w:p w14:paraId="321E8A1F">
            <w:pPr>
              <w:widowControl w:val="0"/>
              <w:spacing w:after="0" w:line="240" w:lineRule="auto"/>
              <w:ind w:left="113" w:right="113"/>
              <w:jc w:val="center"/>
              <w:rPr>
                <w:rFonts w:cstheme="minorHAnsi"/>
                <w:b/>
                <w:sz w:val="16"/>
                <w:szCs w:val="16"/>
              </w:rPr>
            </w:pPr>
            <w:r>
              <w:rPr>
                <w:rFonts w:cstheme="minorHAnsi"/>
                <w:b/>
                <w:sz w:val="16"/>
                <w:szCs w:val="16"/>
              </w:rPr>
              <w:t>ITEM</w:t>
            </w:r>
          </w:p>
        </w:tc>
        <w:tc>
          <w:tcPr>
            <w:tcW w:w="850" w:type="dxa"/>
            <w:tcBorders>
              <w:left w:val="single" w:color="auto" w:sz="4" w:space="0"/>
              <w:bottom w:val="single" w:color="auto" w:sz="4" w:space="0"/>
            </w:tcBorders>
            <w:shd w:val="clear" w:color="auto" w:fill="F1F1F1" w:themeFill="background1" w:themeFillShade="F2"/>
            <w:vAlign w:val="center"/>
          </w:tcPr>
          <w:p w14:paraId="444ACDFE">
            <w:pPr>
              <w:widowControl w:val="0"/>
              <w:jc w:val="center"/>
              <w:rPr>
                <w:rFonts w:cstheme="minorHAnsi"/>
                <w:b/>
                <w:sz w:val="16"/>
                <w:szCs w:val="16"/>
              </w:rPr>
            </w:pPr>
            <w:r>
              <w:rPr>
                <w:rFonts w:cstheme="minorHAnsi"/>
                <w:b/>
                <w:sz w:val="16"/>
                <w:szCs w:val="16"/>
              </w:rPr>
              <w:t>SMART</w:t>
            </w:r>
          </w:p>
        </w:tc>
        <w:tc>
          <w:tcPr>
            <w:tcW w:w="851" w:type="dxa"/>
            <w:tcBorders>
              <w:bottom w:val="single" w:color="auto" w:sz="4" w:space="0"/>
            </w:tcBorders>
            <w:shd w:val="clear" w:color="auto" w:fill="F1F1F1" w:themeFill="background1" w:themeFillShade="F2"/>
          </w:tcPr>
          <w:p w14:paraId="466A5A62">
            <w:pPr>
              <w:widowControl w:val="0"/>
              <w:rPr>
                <w:rFonts w:cstheme="minorHAnsi"/>
                <w:b/>
                <w:sz w:val="16"/>
                <w:szCs w:val="16"/>
              </w:rPr>
            </w:pPr>
            <w:r>
              <w:rPr>
                <w:rFonts w:cstheme="minorHAnsi"/>
                <w:b/>
                <w:sz w:val="16"/>
                <w:szCs w:val="16"/>
              </w:rPr>
              <w:t>CATMAT</w:t>
            </w:r>
          </w:p>
        </w:tc>
        <w:tc>
          <w:tcPr>
            <w:tcW w:w="3019" w:type="dxa"/>
            <w:tcBorders>
              <w:bottom w:val="single" w:color="auto" w:sz="4" w:space="0"/>
            </w:tcBorders>
            <w:shd w:val="clear" w:color="auto" w:fill="F1F1F1" w:themeFill="background1" w:themeFillShade="F2"/>
            <w:vAlign w:val="center"/>
          </w:tcPr>
          <w:p w14:paraId="0E48D85A">
            <w:pPr>
              <w:widowControl w:val="0"/>
              <w:jc w:val="center"/>
              <w:rPr>
                <w:rFonts w:cstheme="minorHAnsi"/>
                <w:b/>
                <w:sz w:val="16"/>
                <w:szCs w:val="16"/>
              </w:rPr>
            </w:pPr>
            <w:r>
              <w:rPr>
                <w:rFonts w:cstheme="minorHAnsi"/>
                <w:b/>
                <w:sz w:val="16"/>
                <w:szCs w:val="16"/>
              </w:rPr>
              <w:t>DESCRIÇÃO</w:t>
            </w:r>
          </w:p>
        </w:tc>
        <w:tc>
          <w:tcPr>
            <w:tcW w:w="992" w:type="dxa"/>
            <w:tcBorders>
              <w:bottom w:val="single" w:color="auto" w:sz="4" w:space="0"/>
            </w:tcBorders>
            <w:shd w:val="clear" w:color="auto" w:fill="F1F1F1" w:themeFill="background1" w:themeFillShade="F2"/>
            <w:noWrap/>
            <w:vAlign w:val="center"/>
          </w:tcPr>
          <w:p w14:paraId="07758195">
            <w:pPr>
              <w:widowControl w:val="0"/>
              <w:jc w:val="center"/>
              <w:rPr>
                <w:rFonts w:cstheme="minorHAnsi"/>
                <w:b/>
                <w:sz w:val="16"/>
                <w:szCs w:val="16"/>
              </w:rPr>
            </w:pPr>
            <w:r>
              <w:rPr>
                <w:rFonts w:cstheme="minorHAnsi"/>
                <w:b/>
                <w:sz w:val="16"/>
                <w:szCs w:val="16"/>
              </w:rPr>
              <w:t>UF.</w:t>
            </w:r>
          </w:p>
        </w:tc>
        <w:tc>
          <w:tcPr>
            <w:tcW w:w="851" w:type="dxa"/>
            <w:tcBorders>
              <w:bottom w:val="single" w:color="auto" w:sz="4" w:space="0"/>
            </w:tcBorders>
            <w:shd w:val="clear" w:color="auto" w:fill="F1F1F1" w:themeFill="background1" w:themeFillShade="F2"/>
            <w:vAlign w:val="center"/>
          </w:tcPr>
          <w:p w14:paraId="5230ECE1">
            <w:pPr>
              <w:widowControl w:val="0"/>
              <w:jc w:val="center"/>
              <w:rPr>
                <w:rFonts w:cstheme="minorHAnsi"/>
                <w:b/>
                <w:sz w:val="16"/>
                <w:szCs w:val="16"/>
              </w:rPr>
            </w:pPr>
            <w:r>
              <w:rPr>
                <w:rFonts w:cstheme="minorHAnsi"/>
                <w:b/>
                <w:sz w:val="16"/>
                <w:szCs w:val="16"/>
              </w:rPr>
              <w:t>QTD ANUAL</w:t>
            </w:r>
          </w:p>
        </w:tc>
        <w:tc>
          <w:tcPr>
            <w:tcW w:w="1041" w:type="dxa"/>
            <w:tcBorders>
              <w:bottom w:val="single" w:color="auto" w:sz="4" w:space="0"/>
              <w:right w:val="single" w:color="auto" w:sz="4" w:space="0"/>
            </w:tcBorders>
            <w:shd w:val="clear" w:color="auto" w:fill="F1F1F1" w:themeFill="background1" w:themeFillShade="F2"/>
            <w:vAlign w:val="center"/>
          </w:tcPr>
          <w:p w14:paraId="7B2F05A5">
            <w:pPr>
              <w:widowControl w:val="0"/>
              <w:jc w:val="center"/>
              <w:rPr>
                <w:rFonts w:cstheme="minorHAnsi"/>
                <w:b/>
                <w:sz w:val="16"/>
                <w:szCs w:val="16"/>
              </w:rPr>
            </w:pPr>
            <w:r>
              <w:rPr>
                <w:rFonts w:cstheme="minorHAnsi"/>
                <w:b/>
                <w:sz w:val="16"/>
                <w:szCs w:val="16"/>
              </w:rPr>
              <w:t>VALOR UNITARIO</w:t>
            </w:r>
          </w:p>
        </w:tc>
        <w:tc>
          <w:tcPr>
            <w:tcW w:w="1587" w:type="dxa"/>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EAC2901">
            <w:pPr>
              <w:widowControl w:val="0"/>
              <w:jc w:val="center"/>
              <w:rPr>
                <w:rFonts w:cstheme="minorHAnsi"/>
                <w:b/>
                <w:sz w:val="16"/>
                <w:szCs w:val="16"/>
              </w:rPr>
            </w:pPr>
            <w:r>
              <w:rPr>
                <w:rFonts w:cstheme="minorHAnsi"/>
                <w:b/>
                <w:sz w:val="16"/>
                <w:szCs w:val="16"/>
              </w:rPr>
              <w:t>TOTAL</w:t>
            </w:r>
          </w:p>
        </w:tc>
      </w:tr>
      <w:tr w14:paraId="40D6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362" w:hRule="atLeast"/>
          <w:jc w:val="center"/>
        </w:trPr>
        <w:tc>
          <w:tcPr>
            <w:tcW w:w="421" w:type="dxa"/>
            <w:tcBorders>
              <w:top w:val="single" w:color="auto" w:sz="4" w:space="0"/>
              <w:left w:val="single" w:color="auto" w:sz="4" w:space="0"/>
              <w:bottom w:val="single" w:color="auto" w:sz="4" w:space="0"/>
              <w:right w:val="nil"/>
            </w:tcBorders>
            <w:shd w:val="clear" w:color="auto" w:fill="F1F1F1" w:themeFill="background1" w:themeFillShade="F2"/>
            <w:vAlign w:val="center"/>
          </w:tcPr>
          <w:p w14:paraId="78439230">
            <w:pPr>
              <w:pStyle w:val="65"/>
              <w:ind w:left="0"/>
              <w:rPr>
                <w:rFonts w:asciiTheme="minorHAnsi" w:hAnsiTheme="minorHAnsi" w:cstheme="minorHAnsi"/>
                <w:sz w:val="16"/>
                <w:szCs w:val="16"/>
              </w:rPr>
            </w:pP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7269F459">
            <w:pPr>
              <w:jc w:val="center"/>
              <w:rPr>
                <w:rFonts w:cstheme="minorHAnsi"/>
                <w:sz w:val="16"/>
                <w:szCs w:val="16"/>
              </w:rPr>
            </w:pPr>
          </w:p>
        </w:tc>
        <w:tc>
          <w:tcPr>
            <w:tcW w:w="851" w:type="dxa"/>
            <w:tcBorders>
              <w:top w:val="single" w:color="auto" w:sz="4" w:space="0"/>
              <w:left w:val="nil"/>
              <w:bottom w:val="single" w:color="auto" w:sz="4" w:space="0"/>
              <w:right w:val="nil"/>
            </w:tcBorders>
            <w:shd w:val="clear" w:color="auto" w:fill="F1F1F1" w:themeFill="background1" w:themeFillShade="F2"/>
          </w:tcPr>
          <w:p w14:paraId="3B84E03A">
            <w:pPr>
              <w:jc w:val="center"/>
              <w:rPr>
                <w:rFonts w:cstheme="minorHAnsi"/>
                <w:color w:val="000000"/>
                <w:sz w:val="16"/>
                <w:szCs w:val="16"/>
              </w:rPr>
            </w:pPr>
          </w:p>
        </w:tc>
        <w:tc>
          <w:tcPr>
            <w:tcW w:w="3019" w:type="dxa"/>
            <w:tcBorders>
              <w:top w:val="single" w:color="auto" w:sz="4" w:space="0"/>
              <w:left w:val="nil"/>
              <w:bottom w:val="single" w:color="auto" w:sz="4" w:space="0"/>
              <w:right w:val="nil"/>
            </w:tcBorders>
            <w:shd w:val="clear" w:color="auto" w:fill="F1F1F1" w:themeFill="background1" w:themeFillShade="F2"/>
          </w:tcPr>
          <w:p w14:paraId="4F0651C9">
            <w:pPr>
              <w:jc w:val="center"/>
              <w:rPr>
                <w:rFonts w:cstheme="minorHAnsi"/>
                <w:b/>
                <w:sz w:val="16"/>
                <w:szCs w:val="16"/>
              </w:rPr>
            </w:pPr>
            <w:r>
              <w:rPr>
                <w:rFonts w:cstheme="minorHAnsi"/>
                <w:b/>
                <w:sz w:val="16"/>
                <w:szCs w:val="16"/>
              </w:rPr>
              <w:t>ITENS</w:t>
            </w:r>
          </w:p>
        </w:tc>
        <w:tc>
          <w:tcPr>
            <w:tcW w:w="992" w:type="dxa"/>
            <w:tcBorders>
              <w:top w:val="single" w:color="auto" w:sz="4" w:space="0"/>
              <w:left w:val="nil"/>
              <w:bottom w:val="single" w:color="auto" w:sz="4" w:space="0"/>
              <w:right w:val="nil"/>
            </w:tcBorders>
            <w:shd w:val="clear" w:color="auto" w:fill="F1F1F1" w:themeFill="background1" w:themeFillShade="F2"/>
            <w:noWrap/>
            <w:vAlign w:val="center"/>
          </w:tcPr>
          <w:p w14:paraId="3920CC96">
            <w:pPr>
              <w:jc w:val="center"/>
              <w:rPr>
                <w:rFonts w:cstheme="minorHAnsi"/>
                <w:sz w:val="16"/>
                <w:szCs w:val="16"/>
              </w:rPr>
            </w:pPr>
          </w:p>
        </w:tc>
        <w:tc>
          <w:tcPr>
            <w:tcW w:w="851" w:type="dxa"/>
            <w:tcBorders>
              <w:top w:val="single" w:color="auto" w:sz="4" w:space="0"/>
              <w:left w:val="nil"/>
              <w:bottom w:val="single" w:color="auto" w:sz="4" w:space="0"/>
              <w:right w:val="nil"/>
            </w:tcBorders>
            <w:shd w:val="clear" w:color="auto" w:fill="F1F1F1" w:themeFill="background1" w:themeFillShade="F2"/>
            <w:vAlign w:val="center"/>
          </w:tcPr>
          <w:p w14:paraId="58268B18">
            <w:pPr>
              <w:jc w:val="center"/>
              <w:rPr>
                <w:rFonts w:cstheme="minorHAnsi"/>
                <w:sz w:val="16"/>
                <w:szCs w:val="16"/>
              </w:rPr>
            </w:pPr>
          </w:p>
        </w:tc>
        <w:tc>
          <w:tcPr>
            <w:tcW w:w="1041" w:type="dxa"/>
            <w:tcBorders>
              <w:top w:val="single" w:color="auto" w:sz="4" w:space="0"/>
              <w:left w:val="nil"/>
              <w:bottom w:val="single" w:color="auto" w:sz="4" w:space="0"/>
              <w:right w:val="nil"/>
            </w:tcBorders>
            <w:shd w:val="clear" w:color="auto" w:fill="F1F1F1" w:themeFill="background1" w:themeFillShade="F2"/>
          </w:tcPr>
          <w:p w14:paraId="5C171F0C">
            <w:pPr>
              <w:jc w:val="center"/>
              <w:rPr>
                <w:rFonts w:cstheme="minorHAnsi"/>
                <w:sz w:val="16"/>
                <w:szCs w:val="16"/>
              </w:rPr>
            </w:pPr>
          </w:p>
        </w:tc>
        <w:tc>
          <w:tcPr>
            <w:tcW w:w="1587" w:type="dxa"/>
            <w:gridSpan w:val="2"/>
            <w:tcBorders>
              <w:top w:val="single" w:color="auto" w:sz="4" w:space="0"/>
              <w:left w:val="nil"/>
              <w:bottom w:val="single" w:color="auto" w:sz="4" w:space="0"/>
              <w:right w:val="single" w:color="auto" w:sz="4" w:space="0"/>
            </w:tcBorders>
            <w:shd w:val="clear" w:color="auto" w:fill="F1F1F1" w:themeFill="background1" w:themeFillShade="F2"/>
          </w:tcPr>
          <w:p w14:paraId="40DE9130">
            <w:pPr>
              <w:jc w:val="center"/>
              <w:rPr>
                <w:rFonts w:cstheme="minorHAnsi"/>
                <w:sz w:val="16"/>
                <w:szCs w:val="16"/>
              </w:rPr>
            </w:pPr>
          </w:p>
        </w:tc>
      </w:tr>
      <w:tr w14:paraId="336B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1811" w:hRule="atLeast"/>
          <w:jc w:val="center"/>
        </w:trPr>
        <w:tc>
          <w:tcPr>
            <w:tcW w:w="421" w:type="dxa"/>
            <w:tcBorders>
              <w:left w:val="single" w:color="auto" w:sz="4" w:space="0"/>
              <w:right w:val="single" w:color="auto" w:sz="4" w:space="0"/>
            </w:tcBorders>
            <w:vAlign w:val="center"/>
          </w:tcPr>
          <w:p w14:paraId="4E77F0FD">
            <w:pPr>
              <w:jc w:val="center"/>
              <w:rPr>
                <w:rFonts w:cstheme="minorHAnsi"/>
                <w:color w:val="000000"/>
                <w:sz w:val="16"/>
                <w:szCs w:val="16"/>
              </w:rPr>
            </w:pPr>
            <w:r>
              <w:rPr>
                <w:rFonts w:cstheme="minorHAnsi"/>
                <w:color w:val="000000"/>
                <w:sz w:val="16"/>
                <w:szCs w:val="16"/>
              </w:rPr>
              <w:t>1</w:t>
            </w:r>
          </w:p>
        </w:tc>
        <w:tc>
          <w:tcPr>
            <w:tcW w:w="850" w:type="dxa"/>
            <w:tcBorders>
              <w:left w:val="single" w:color="auto" w:sz="4" w:space="0"/>
            </w:tcBorders>
            <w:vAlign w:val="center"/>
          </w:tcPr>
          <w:p w14:paraId="03CB3D87">
            <w:pPr>
              <w:jc w:val="center"/>
              <w:rPr>
                <w:rFonts w:cstheme="minorHAnsi"/>
                <w:color w:val="000000"/>
                <w:sz w:val="16"/>
                <w:szCs w:val="16"/>
              </w:rPr>
            </w:pPr>
            <w:r>
              <w:rPr>
                <w:rFonts w:cstheme="minorHAnsi"/>
                <w:color w:val="000000"/>
                <w:sz w:val="16"/>
                <w:szCs w:val="16"/>
              </w:rPr>
              <w:t>6474</w:t>
            </w:r>
          </w:p>
        </w:tc>
        <w:tc>
          <w:tcPr>
            <w:tcW w:w="851" w:type="dxa"/>
            <w:vAlign w:val="center"/>
          </w:tcPr>
          <w:p w14:paraId="29F87080">
            <w:pPr>
              <w:jc w:val="center"/>
              <w:rPr>
                <w:rFonts w:cstheme="minorHAnsi"/>
                <w:color w:val="000000"/>
                <w:sz w:val="16"/>
                <w:szCs w:val="16"/>
              </w:rPr>
            </w:pPr>
            <w:r>
              <w:rPr>
                <w:rFonts w:cstheme="minorHAnsi"/>
                <w:color w:val="000000"/>
                <w:sz w:val="16"/>
                <w:szCs w:val="16"/>
              </w:rPr>
              <w:t>600135</w:t>
            </w:r>
          </w:p>
        </w:tc>
        <w:tc>
          <w:tcPr>
            <w:tcW w:w="3019" w:type="dxa"/>
            <w:vAlign w:val="center"/>
          </w:tcPr>
          <w:p w14:paraId="35896F60">
            <w:pPr>
              <w:jc w:val="both"/>
              <w:rPr>
                <w:rFonts w:cstheme="minorHAnsi"/>
                <w:color w:val="000000"/>
                <w:sz w:val="16"/>
                <w:szCs w:val="16"/>
              </w:rPr>
            </w:pPr>
            <w:r>
              <w:rPr>
                <w:rFonts w:cstheme="minorHAnsi"/>
                <w:color w:val="000000"/>
                <w:sz w:val="16"/>
                <w:szCs w:val="16"/>
              </w:rPr>
              <w:t>FIO DE SUTURA S/ AGULHA MATERIAL: SEDA PRETO, MODELO: MULTIFILAMENTAR , COMPRIMENTO: 15 X CERCA DE 45 CM, DIÂMETRO: 0 / 1-0 , APRESENTAÇÃO: EMBALAGEM INDIVIDUAL , ESTERILIDADE: ESTÉRIL.FIO SEDA 0, 15X45CM S/AG.</w:t>
            </w:r>
          </w:p>
        </w:tc>
        <w:tc>
          <w:tcPr>
            <w:tcW w:w="992" w:type="dxa"/>
            <w:noWrap/>
            <w:vAlign w:val="center"/>
          </w:tcPr>
          <w:p w14:paraId="63E0992D">
            <w:pPr>
              <w:jc w:val="center"/>
              <w:rPr>
                <w:rFonts w:cstheme="minorHAnsi"/>
                <w:color w:val="000000"/>
                <w:sz w:val="16"/>
                <w:szCs w:val="16"/>
              </w:rPr>
            </w:pPr>
            <w:r>
              <w:rPr>
                <w:rFonts w:cstheme="minorHAnsi"/>
                <w:color w:val="000000"/>
                <w:sz w:val="16"/>
                <w:szCs w:val="16"/>
              </w:rPr>
              <w:t>UND</w:t>
            </w:r>
          </w:p>
        </w:tc>
        <w:tc>
          <w:tcPr>
            <w:tcW w:w="851" w:type="dxa"/>
            <w:vAlign w:val="center"/>
          </w:tcPr>
          <w:p w14:paraId="648D49A2">
            <w:pPr>
              <w:jc w:val="center"/>
              <w:rPr>
                <w:rFonts w:cstheme="minorHAnsi"/>
                <w:color w:val="000000"/>
                <w:sz w:val="16"/>
                <w:szCs w:val="16"/>
              </w:rPr>
            </w:pPr>
            <w:r>
              <w:rPr>
                <w:rFonts w:cstheme="minorHAnsi"/>
                <w:color w:val="000000"/>
                <w:sz w:val="16"/>
                <w:szCs w:val="16"/>
              </w:rPr>
              <w:t>3.000</w:t>
            </w:r>
          </w:p>
        </w:tc>
        <w:tc>
          <w:tcPr>
            <w:tcW w:w="1041" w:type="dxa"/>
            <w:tcBorders>
              <w:right w:val="single" w:color="auto" w:sz="4" w:space="0"/>
            </w:tcBorders>
            <w:vAlign w:val="center"/>
          </w:tcPr>
          <w:p w14:paraId="5FA2B220">
            <w:pPr>
              <w:rPr>
                <w:rFonts w:cstheme="minorHAnsi"/>
                <w:color w:val="000000"/>
                <w:sz w:val="16"/>
                <w:szCs w:val="16"/>
              </w:rPr>
            </w:pPr>
            <w:r>
              <w:rPr>
                <w:rFonts w:cstheme="minorHAnsi"/>
                <w:color w:val="000000"/>
                <w:sz w:val="16"/>
                <w:szCs w:val="16"/>
              </w:rPr>
              <w:t>20,00</w:t>
            </w:r>
          </w:p>
        </w:tc>
        <w:tc>
          <w:tcPr>
            <w:tcW w:w="1587" w:type="dxa"/>
            <w:gridSpan w:val="2"/>
            <w:tcBorders>
              <w:top w:val="single" w:color="auto" w:sz="4" w:space="0"/>
              <w:left w:val="single" w:color="auto" w:sz="4" w:space="0"/>
              <w:bottom w:val="single" w:color="auto" w:sz="4" w:space="0"/>
              <w:right w:val="single" w:color="auto" w:sz="4" w:space="0"/>
            </w:tcBorders>
            <w:vAlign w:val="center"/>
          </w:tcPr>
          <w:p w14:paraId="4D01FD16">
            <w:pPr>
              <w:jc w:val="right"/>
              <w:rPr>
                <w:rFonts w:cstheme="minorHAnsi"/>
                <w:color w:val="000000"/>
                <w:sz w:val="16"/>
                <w:szCs w:val="16"/>
              </w:rPr>
            </w:pPr>
            <w:r>
              <w:rPr>
                <w:rFonts w:cstheme="minorHAnsi"/>
                <w:color w:val="000000"/>
                <w:sz w:val="16"/>
                <w:szCs w:val="16"/>
              </w:rPr>
              <w:t xml:space="preserve"> R$ 60.000,00</w:t>
            </w:r>
          </w:p>
        </w:tc>
      </w:tr>
      <w:tr w14:paraId="1C84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1811" w:hRule="atLeast"/>
          <w:jc w:val="center"/>
        </w:trPr>
        <w:tc>
          <w:tcPr>
            <w:tcW w:w="421" w:type="dxa"/>
            <w:tcBorders>
              <w:left w:val="single" w:color="auto" w:sz="4" w:space="0"/>
              <w:right w:val="single" w:color="auto" w:sz="4" w:space="0"/>
            </w:tcBorders>
            <w:vAlign w:val="center"/>
          </w:tcPr>
          <w:p w14:paraId="051CFE10">
            <w:pPr>
              <w:jc w:val="center"/>
              <w:rPr>
                <w:rFonts w:cstheme="minorHAnsi"/>
                <w:color w:val="000000"/>
                <w:sz w:val="16"/>
                <w:szCs w:val="16"/>
              </w:rPr>
            </w:pPr>
            <w:r>
              <w:rPr>
                <w:rFonts w:cstheme="minorHAnsi"/>
                <w:color w:val="000000"/>
                <w:sz w:val="16"/>
                <w:szCs w:val="16"/>
              </w:rPr>
              <w:t>2</w:t>
            </w:r>
          </w:p>
        </w:tc>
        <w:tc>
          <w:tcPr>
            <w:tcW w:w="850" w:type="dxa"/>
            <w:tcBorders>
              <w:left w:val="single" w:color="auto" w:sz="4" w:space="0"/>
            </w:tcBorders>
            <w:vAlign w:val="center"/>
          </w:tcPr>
          <w:p w14:paraId="2B11EA7F">
            <w:pPr>
              <w:jc w:val="center"/>
              <w:rPr>
                <w:rFonts w:cstheme="minorHAnsi"/>
                <w:color w:val="000000"/>
                <w:sz w:val="16"/>
                <w:szCs w:val="16"/>
              </w:rPr>
            </w:pPr>
            <w:r>
              <w:rPr>
                <w:rFonts w:cstheme="minorHAnsi"/>
                <w:color w:val="000000"/>
                <w:sz w:val="16"/>
                <w:szCs w:val="16"/>
              </w:rPr>
              <w:t>6494</w:t>
            </w:r>
          </w:p>
        </w:tc>
        <w:tc>
          <w:tcPr>
            <w:tcW w:w="851" w:type="dxa"/>
            <w:vAlign w:val="center"/>
          </w:tcPr>
          <w:p w14:paraId="1064D265">
            <w:pPr>
              <w:jc w:val="center"/>
              <w:rPr>
                <w:rFonts w:cstheme="minorHAnsi"/>
                <w:color w:val="000000"/>
                <w:sz w:val="16"/>
                <w:szCs w:val="16"/>
              </w:rPr>
            </w:pPr>
            <w:r>
              <w:rPr>
                <w:rFonts w:cstheme="minorHAnsi"/>
                <w:color w:val="000000"/>
                <w:sz w:val="16"/>
                <w:szCs w:val="16"/>
              </w:rPr>
              <w:t>600131</w:t>
            </w:r>
          </w:p>
        </w:tc>
        <w:tc>
          <w:tcPr>
            <w:tcW w:w="3019" w:type="dxa"/>
            <w:vAlign w:val="center"/>
          </w:tcPr>
          <w:p w14:paraId="709E40FB">
            <w:pPr>
              <w:jc w:val="both"/>
              <w:rPr>
                <w:rFonts w:cstheme="minorHAnsi"/>
                <w:color w:val="000000"/>
                <w:sz w:val="16"/>
                <w:szCs w:val="16"/>
              </w:rPr>
            </w:pPr>
            <w:r>
              <w:rPr>
                <w:rFonts w:cstheme="minorHAnsi"/>
                <w:color w:val="000000"/>
                <w:sz w:val="16"/>
                <w:szCs w:val="16"/>
              </w:rPr>
              <w:t>FIO MATERIAL: SEDA PRETO, MODELO: MULTIFILAMENTAR, COMPRIMENTO: 15 X CERCA DE 45 CM, DIÂMETRO: 3-0, APRESENTAÇÃO: EMBALAGEM INDIVIDUAL, ESTERILIDADE: ESTÉRIL.FIO SEDA 3-0 PRETO 15X45CM S/AG.</w:t>
            </w:r>
          </w:p>
        </w:tc>
        <w:tc>
          <w:tcPr>
            <w:tcW w:w="992" w:type="dxa"/>
            <w:noWrap/>
            <w:vAlign w:val="center"/>
          </w:tcPr>
          <w:p w14:paraId="717E2FFD">
            <w:pPr>
              <w:jc w:val="center"/>
              <w:rPr>
                <w:rFonts w:cstheme="minorHAnsi"/>
                <w:color w:val="000000"/>
                <w:sz w:val="16"/>
                <w:szCs w:val="16"/>
              </w:rPr>
            </w:pPr>
            <w:r>
              <w:rPr>
                <w:rFonts w:cstheme="minorHAnsi"/>
                <w:color w:val="000000"/>
                <w:sz w:val="16"/>
                <w:szCs w:val="16"/>
              </w:rPr>
              <w:t>UND</w:t>
            </w:r>
          </w:p>
        </w:tc>
        <w:tc>
          <w:tcPr>
            <w:tcW w:w="851" w:type="dxa"/>
            <w:vAlign w:val="center"/>
          </w:tcPr>
          <w:p w14:paraId="6CBBB639">
            <w:pPr>
              <w:jc w:val="center"/>
              <w:rPr>
                <w:rFonts w:cstheme="minorHAnsi"/>
                <w:color w:val="000000"/>
                <w:sz w:val="16"/>
                <w:szCs w:val="16"/>
              </w:rPr>
            </w:pPr>
            <w:r>
              <w:rPr>
                <w:rFonts w:cstheme="minorHAnsi"/>
                <w:color w:val="000000"/>
                <w:sz w:val="16"/>
                <w:szCs w:val="16"/>
              </w:rPr>
              <w:t>3.000</w:t>
            </w:r>
          </w:p>
        </w:tc>
        <w:tc>
          <w:tcPr>
            <w:tcW w:w="1041" w:type="dxa"/>
            <w:tcBorders>
              <w:right w:val="single" w:color="auto" w:sz="4" w:space="0"/>
            </w:tcBorders>
            <w:vAlign w:val="center"/>
          </w:tcPr>
          <w:p w14:paraId="4C562895">
            <w:pPr>
              <w:rPr>
                <w:rFonts w:cstheme="minorHAnsi"/>
                <w:color w:val="000000"/>
                <w:sz w:val="16"/>
                <w:szCs w:val="16"/>
              </w:rPr>
            </w:pPr>
            <w:r>
              <w:rPr>
                <w:rFonts w:cstheme="minorHAnsi"/>
                <w:color w:val="000000"/>
                <w:sz w:val="16"/>
                <w:szCs w:val="16"/>
              </w:rPr>
              <w:t>15,00</w:t>
            </w:r>
          </w:p>
        </w:tc>
        <w:tc>
          <w:tcPr>
            <w:tcW w:w="1587" w:type="dxa"/>
            <w:gridSpan w:val="2"/>
            <w:tcBorders>
              <w:top w:val="single" w:color="auto" w:sz="4" w:space="0"/>
              <w:left w:val="single" w:color="auto" w:sz="4" w:space="0"/>
              <w:bottom w:val="single" w:color="auto" w:sz="4" w:space="0"/>
              <w:right w:val="single" w:color="auto" w:sz="4" w:space="0"/>
            </w:tcBorders>
            <w:vAlign w:val="center"/>
          </w:tcPr>
          <w:p w14:paraId="3260BEE6">
            <w:pPr>
              <w:jc w:val="right"/>
              <w:rPr>
                <w:rFonts w:cstheme="minorHAnsi"/>
                <w:color w:val="000000"/>
                <w:sz w:val="16"/>
                <w:szCs w:val="16"/>
              </w:rPr>
            </w:pPr>
            <w:r>
              <w:rPr>
                <w:rFonts w:cstheme="minorHAnsi"/>
                <w:color w:val="000000"/>
                <w:sz w:val="16"/>
                <w:szCs w:val="16"/>
              </w:rPr>
              <w:t>R$ 45.000,00</w:t>
            </w:r>
          </w:p>
        </w:tc>
      </w:tr>
      <w:tr w14:paraId="63F1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2002" w:hRule="atLeast"/>
          <w:jc w:val="center"/>
        </w:trPr>
        <w:tc>
          <w:tcPr>
            <w:tcW w:w="421" w:type="dxa"/>
            <w:tcBorders>
              <w:left w:val="single" w:color="auto" w:sz="4" w:space="0"/>
              <w:bottom w:val="single" w:color="auto" w:sz="4" w:space="0"/>
              <w:right w:val="single" w:color="auto" w:sz="4" w:space="0"/>
            </w:tcBorders>
            <w:vAlign w:val="center"/>
          </w:tcPr>
          <w:p w14:paraId="3498BC91">
            <w:pPr>
              <w:jc w:val="center"/>
              <w:rPr>
                <w:rFonts w:cstheme="minorHAnsi"/>
                <w:color w:val="000000"/>
                <w:sz w:val="16"/>
                <w:szCs w:val="16"/>
              </w:rPr>
            </w:pPr>
            <w:r>
              <w:rPr>
                <w:rFonts w:cstheme="minorHAnsi"/>
                <w:color w:val="000000"/>
                <w:sz w:val="16"/>
                <w:szCs w:val="16"/>
              </w:rPr>
              <w:t>3</w:t>
            </w:r>
          </w:p>
        </w:tc>
        <w:tc>
          <w:tcPr>
            <w:tcW w:w="850" w:type="dxa"/>
            <w:tcBorders>
              <w:left w:val="single" w:color="auto" w:sz="4" w:space="0"/>
              <w:bottom w:val="single" w:color="auto" w:sz="4" w:space="0"/>
            </w:tcBorders>
            <w:vAlign w:val="center"/>
          </w:tcPr>
          <w:p w14:paraId="2CF47721">
            <w:pPr>
              <w:jc w:val="center"/>
              <w:rPr>
                <w:rFonts w:cstheme="minorHAnsi"/>
                <w:bCs/>
                <w:sz w:val="16"/>
                <w:szCs w:val="16"/>
              </w:rPr>
            </w:pPr>
            <w:r>
              <w:rPr>
                <w:rFonts w:cstheme="minorHAnsi"/>
                <w:bCs/>
                <w:sz w:val="16"/>
                <w:szCs w:val="16"/>
              </w:rPr>
              <w:t>10609</w:t>
            </w:r>
          </w:p>
        </w:tc>
        <w:tc>
          <w:tcPr>
            <w:tcW w:w="851" w:type="dxa"/>
            <w:tcBorders>
              <w:bottom w:val="single" w:color="auto" w:sz="4" w:space="0"/>
            </w:tcBorders>
            <w:vAlign w:val="center"/>
          </w:tcPr>
          <w:p w14:paraId="05A27325">
            <w:pPr>
              <w:jc w:val="center"/>
              <w:rPr>
                <w:rFonts w:cstheme="minorHAnsi"/>
                <w:color w:val="000000"/>
                <w:sz w:val="16"/>
                <w:szCs w:val="16"/>
              </w:rPr>
            </w:pPr>
            <w:r>
              <w:rPr>
                <w:rFonts w:cstheme="minorHAnsi"/>
                <w:bCs/>
                <w:sz w:val="16"/>
                <w:szCs w:val="16"/>
              </w:rPr>
              <w:t>600138</w:t>
            </w:r>
          </w:p>
        </w:tc>
        <w:tc>
          <w:tcPr>
            <w:tcW w:w="3019" w:type="dxa"/>
            <w:tcBorders>
              <w:bottom w:val="single" w:color="auto" w:sz="4" w:space="0"/>
            </w:tcBorders>
            <w:vAlign w:val="center"/>
          </w:tcPr>
          <w:p w14:paraId="65ABEC13">
            <w:pPr>
              <w:jc w:val="both"/>
              <w:rPr>
                <w:rFonts w:cstheme="minorHAnsi"/>
                <w:color w:val="000000"/>
                <w:sz w:val="16"/>
                <w:szCs w:val="16"/>
              </w:rPr>
            </w:pPr>
            <w:r>
              <w:rPr>
                <w:rFonts w:cstheme="minorHAnsi"/>
                <w:color w:val="000000"/>
                <w:sz w:val="16"/>
                <w:szCs w:val="16"/>
              </w:rPr>
              <w:t>FIO MATERIAL: POLIÉSTER C/ ALGODÃO AZUL, MODELO: MULTIFILAMENTAR, COMPRIMENTO: 15 X CERCA DE 45 CM, DIÂMETRO: 4-0, APRESENTAÇÃO: EMBALAGEM INDIVIDUAL, ESTERILIDADE: ESTÉRIL,FIO ALGODAO 4-0 45CM S/AG.</w:t>
            </w:r>
          </w:p>
        </w:tc>
        <w:tc>
          <w:tcPr>
            <w:tcW w:w="992" w:type="dxa"/>
            <w:tcBorders>
              <w:bottom w:val="single" w:color="auto" w:sz="4" w:space="0"/>
            </w:tcBorders>
            <w:noWrap/>
            <w:vAlign w:val="center"/>
          </w:tcPr>
          <w:p w14:paraId="303D5BBC">
            <w:pPr>
              <w:jc w:val="center"/>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66DE4119">
            <w:pPr>
              <w:jc w:val="center"/>
              <w:rPr>
                <w:rFonts w:cstheme="minorHAnsi"/>
                <w:color w:val="000000"/>
                <w:sz w:val="16"/>
                <w:szCs w:val="16"/>
              </w:rPr>
            </w:pPr>
            <w:r>
              <w:rPr>
                <w:rFonts w:cstheme="minorHAnsi"/>
                <w:color w:val="000000"/>
                <w:sz w:val="16"/>
                <w:szCs w:val="16"/>
              </w:rPr>
              <w:t>1.600</w:t>
            </w:r>
          </w:p>
        </w:tc>
        <w:tc>
          <w:tcPr>
            <w:tcW w:w="1041" w:type="dxa"/>
            <w:tcBorders>
              <w:bottom w:val="single" w:color="auto" w:sz="4" w:space="0"/>
              <w:right w:val="single" w:color="auto" w:sz="4" w:space="0"/>
            </w:tcBorders>
            <w:vAlign w:val="center"/>
          </w:tcPr>
          <w:p w14:paraId="224FC8B8">
            <w:pPr>
              <w:rPr>
                <w:rFonts w:cstheme="minorHAnsi"/>
                <w:color w:val="000000"/>
                <w:sz w:val="16"/>
                <w:szCs w:val="16"/>
              </w:rPr>
            </w:pPr>
            <w:r>
              <w:rPr>
                <w:rFonts w:cstheme="minorHAnsi"/>
                <w:color w:val="000000"/>
                <w:sz w:val="16"/>
                <w:szCs w:val="16"/>
              </w:rPr>
              <w:t xml:space="preserve">  7,50</w:t>
            </w:r>
          </w:p>
        </w:tc>
        <w:tc>
          <w:tcPr>
            <w:tcW w:w="1587" w:type="dxa"/>
            <w:gridSpan w:val="2"/>
            <w:tcBorders>
              <w:top w:val="single" w:color="auto" w:sz="4" w:space="0"/>
              <w:left w:val="single" w:color="auto" w:sz="4" w:space="0"/>
              <w:bottom w:val="single" w:color="auto" w:sz="4" w:space="0"/>
              <w:right w:val="single" w:color="auto" w:sz="4" w:space="0"/>
            </w:tcBorders>
            <w:vAlign w:val="center"/>
          </w:tcPr>
          <w:p w14:paraId="6CC94D05">
            <w:pPr>
              <w:jc w:val="right"/>
              <w:rPr>
                <w:rFonts w:cstheme="minorHAnsi"/>
                <w:color w:val="000000"/>
                <w:sz w:val="16"/>
                <w:szCs w:val="16"/>
              </w:rPr>
            </w:pPr>
            <w:r>
              <w:rPr>
                <w:rFonts w:cstheme="minorHAnsi"/>
                <w:color w:val="000000"/>
                <w:sz w:val="16"/>
                <w:szCs w:val="16"/>
              </w:rPr>
              <w:t>R$12.000,00</w:t>
            </w:r>
          </w:p>
        </w:tc>
      </w:tr>
      <w:tr w14:paraId="230E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2002" w:hRule="atLeast"/>
          <w:jc w:val="center"/>
        </w:trPr>
        <w:tc>
          <w:tcPr>
            <w:tcW w:w="421" w:type="dxa"/>
            <w:tcBorders>
              <w:left w:val="single" w:color="auto" w:sz="4" w:space="0"/>
              <w:bottom w:val="single" w:color="auto" w:sz="4" w:space="0"/>
              <w:right w:val="single" w:color="auto" w:sz="4" w:space="0"/>
            </w:tcBorders>
            <w:vAlign w:val="center"/>
          </w:tcPr>
          <w:p w14:paraId="11E6B630">
            <w:pPr>
              <w:jc w:val="center"/>
              <w:rPr>
                <w:rFonts w:cstheme="minorHAnsi"/>
                <w:color w:val="000000"/>
                <w:sz w:val="16"/>
                <w:szCs w:val="16"/>
                <w:highlight w:val="yellow"/>
              </w:rPr>
            </w:pPr>
            <w:r>
              <w:rPr>
                <w:rFonts w:cstheme="minorHAnsi"/>
                <w:color w:val="000000"/>
                <w:sz w:val="16"/>
                <w:szCs w:val="16"/>
              </w:rPr>
              <w:t>4</w:t>
            </w:r>
          </w:p>
        </w:tc>
        <w:tc>
          <w:tcPr>
            <w:tcW w:w="850" w:type="dxa"/>
            <w:tcBorders>
              <w:left w:val="single" w:color="auto" w:sz="4" w:space="0"/>
              <w:bottom w:val="single" w:color="auto" w:sz="4" w:space="0"/>
            </w:tcBorders>
            <w:vAlign w:val="center"/>
          </w:tcPr>
          <w:p w14:paraId="011824EE">
            <w:pPr>
              <w:jc w:val="center"/>
              <w:rPr>
                <w:rFonts w:cstheme="minorHAnsi"/>
                <w:sz w:val="16"/>
                <w:szCs w:val="16"/>
              </w:rPr>
            </w:pPr>
            <w:r>
              <w:rPr>
                <w:rFonts w:cstheme="minorHAnsi"/>
                <w:sz w:val="16"/>
                <w:szCs w:val="16"/>
              </w:rPr>
              <w:t>NOVO</w:t>
            </w:r>
          </w:p>
        </w:tc>
        <w:tc>
          <w:tcPr>
            <w:tcW w:w="851" w:type="dxa"/>
            <w:tcBorders>
              <w:bottom w:val="single" w:color="auto" w:sz="4" w:space="0"/>
            </w:tcBorders>
            <w:vAlign w:val="center"/>
          </w:tcPr>
          <w:p w14:paraId="6935B8A2">
            <w:pPr>
              <w:jc w:val="center"/>
              <w:rPr>
                <w:rFonts w:cstheme="minorHAnsi"/>
                <w:bCs/>
                <w:sz w:val="16"/>
                <w:szCs w:val="16"/>
              </w:rPr>
            </w:pPr>
            <w:r>
              <w:rPr>
                <w:rFonts w:cstheme="minorHAnsi"/>
                <w:bCs/>
                <w:sz w:val="16"/>
                <w:szCs w:val="16"/>
              </w:rPr>
              <w:t>600129</w:t>
            </w:r>
          </w:p>
        </w:tc>
        <w:tc>
          <w:tcPr>
            <w:tcW w:w="3019" w:type="dxa"/>
            <w:tcBorders>
              <w:bottom w:val="single" w:color="auto" w:sz="4" w:space="0"/>
            </w:tcBorders>
            <w:vAlign w:val="center"/>
          </w:tcPr>
          <w:p w14:paraId="42BC009F">
            <w:pPr>
              <w:jc w:val="both"/>
              <w:rPr>
                <w:rFonts w:cstheme="minorHAnsi"/>
                <w:color w:val="000000"/>
                <w:sz w:val="16"/>
                <w:szCs w:val="16"/>
              </w:rPr>
            </w:pPr>
            <w:r>
              <w:rPr>
                <w:rFonts w:cstheme="minorHAnsi"/>
                <w:bCs/>
                <w:color w:val="000000"/>
                <w:sz w:val="16"/>
                <w:szCs w:val="16"/>
              </w:rPr>
              <w:t>FIO DE SUTURA S/ AGULHA</w:t>
            </w:r>
          </w:p>
          <w:p w14:paraId="69772FF2">
            <w:pPr>
              <w:jc w:val="both"/>
              <w:rPr>
                <w:rFonts w:cstheme="minorHAnsi"/>
                <w:color w:val="000000"/>
                <w:sz w:val="16"/>
                <w:szCs w:val="16"/>
              </w:rPr>
            </w:pPr>
            <w:r>
              <w:rPr>
                <w:rFonts w:cstheme="minorHAnsi"/>
                <w:color w:val="000000"/>
                <w:sz w:val="16"/>
                <w:szCs w:val="16"/>
              </w:rPr>
              <w:t>MATERIAL: SEDA PRETOMODELO: MULTIFILAMENTARDIÂMETRO: 4-0COMPRIMENTO: 15 X CERCA DE 45 CMESTERILIDADE: ESTÉRILAPRESENTAÇÃO: EMBALAGEM INDIVIDUAL.</w:t>
            </w:r>
          </w:p>
        </w:tc>
        <w:tc>
          <w:tcPr>
            <w:tcW w:w="992" w:type="dxa"/>
            <w:tcBorders>
              <w:bottom w:val="single" w:color="auto" w:sz="4" w:space="0"/>
            </w:tcBorders>
            <w:noWrap/>
            <w:vAlign w:val="center"/>
          </w:tcPr>
          <w:p w14:paraId="5EB57A21">
            <w:pPr>
              <w:jc w:val="center"/>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79F95B88">
            <w:pPr>
              <w:jc w:val="center"/>
              <w:rPr>
                <w:rFonts w:cstheme="minorHAnsi"/>
                <w:color w:val="000000"/>
                <w:sz w:val="16"/>
                <w:szCs w:val="16"/>
              </w:rPr>
            </w:pPr>
            <w:r>
              <w:rPr>
                <w:rFonts w:cstheme="minorHAnsi"/>
                <w:color w:val="000000"/>
                <w:sz w:val="16"/>
                <w:szCs w:val="16"/>
              </w:rPr>
              <w:t>1.600</w:t>
            </w:r>
          </w:p>
        </w:tc>
        <w:tc>
          <w:tcPr>
            <w:tcW w:w="1041" w:type="dxa"/>
            <w:tcBorders>
              <w:bottom w:val="single" w:color="auto" w:sz="4" w:space="0"/>
              <w:right w:val="single" w:color="auto" w:sz="4" w:space="0"/>
            </w:tcBorders>
            <w:vAlign w:val="center"/>
          </w:tcPr>
          <w:p w14:paraId="00888B69">
            <w:pPr>
              <w:rPr>
                <w:rFonts w:cstheme="minorHAnsi"/>
                <w:color w:val="000000"/>
                <w:sz w:val="16"/>
                <w:szCs w:val="16"/>
              </w:rPr>
            </w:pPr>
            <w:r>
              <w:rPr>
                <w:rFonts w:cstheme="minorHAnsi"/>
                <w:color w:val="000000"/>
                <w:sz w:val="16"/>
                <w:szCs w:val="16"/>
              </w:rPr>
              <w:t xml:space="preserve">       15,00</w:t>
            </w:r>
          </w:p>
        </w:tc>
        <w:tc>
          <w:tcPr>
            <w:tcW w:w="1587" w:type="dxa"/>
            <w:gridSpan w:val="2"/>
            <w:tcBorders>
              <w:top w:val="single" w:color="auto" w:sz="4" w:space="0"/>
              <w:left w:val="single" w:color="auto" w:sz="4" w:space="0"/>
              <w:bottom w:val="single" w:color="auto" w:sz="4" w:space="0"/>
              <w:right w:val="single" w:color="auto" w:sz="4" w:space="0"/>
            </w:tcBorders>
            <w:vAlign w:val="center"/>
          </w:tcPr>
          <w:p w14:paraId="45FE1F0B">
            <w:pPr>
              <w:jc w:val="right"/>
              <w:rPr>
                <w:rFonts w:cstheme="minorHAnsi"/>
                <w:color w:val="000000"/>
                <w:sz w:val="16"/>
                <w:szCs w:val="16"/>
              </w:rPr>
            </w:pPr>
            <w:r>
              <w:rPr>
                <w:rFonts w:cstheme="minorHAnsi"/>
                <w:color w:val="000000"/>
                <w:sz w:val="16"/>
                <w:szCs w:val="16"/>
              </w:rPr>
              <w:t xml:space="preserve">  R$ 24.000,00</w:t>
            </w:r>
          </w:p>
        </w:tc>
      </w:tr>
      <w:tr w14:paraId="2C10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2002" w:hRule="atLeast"/>
          <w:jc w:val="center"/>
        </w:trPr>
        <w:tc>
          <w:tcPr>
            <w:tcW w:w="421" w:type="dxa"/>
            <w:tcBorders>
              <w:left w:val="single" w:color="auto" w:sz="4" w:space="0"/>
              <w:bottom w:val="single" w:color="auto" w:sz="4" w:space="0"/>
              <w:right w:val="single" w:color="auto" w:sz="4" w:space="0"/>
            </w:tcBorders>
            <w:vAlign w:val="center"/>
          </w:tcPr>
          <w:p w14:paraId="18797961">
            <w:pPr>
              <w:jc w:val="center"/>
              <w:rPr>
                <w:rFonts w:cstheme="minorHAnsi"/>
                <w:color w:val="000000"/>
                <w:sz w:val="16"/>
                <w:szCs w:val="16"/>
              </w:rPr>
            </w:pPr>
            <w:r>
              <w:rPr>
                <w:rFonts w:cstheme="minorHAnsi"/>
                <w:color w:val="000000"/>
                <w:sz w:val="16"/>
                <w:szCs w:val="16"/>
              </w:rPr>
              <w:t>5</w:t>
            </w:r>
          </w:p>
        </w:tc>
        <w:tc>
          <w:tcPr>
            <w:tcW w:w="850" w:type="dxa"/>
            <w:tcBorders>
              <w:left w:val="single" w:color="auto" w:sz="4" w:space="0"/>
              <w:bottom w:val="single" w:color="auto" w:sz="4" w:space="0"/>
            </w:tcBorders>
            <w:vAlign w:val="center"/>
          </w:tcPr>
          <w:p w14:paraId="4204D46D">
            <w:pPr>
              <w:jc w:val="center"/>
              <w:rPr>
                <w:rFonts w:cstheme="minorHAnsi"/>
                <w:bCs/>
                <w:sz w:val="16"/>
                <w:szCs w:val="16"/>
              </w:rPr>
            </w:pPr>
            <w:r>
              <w:rPr>
                <w:rFonts w:cstheme="minorHAnsi"/>
                <w:bCs/>
                <w:sz w:val="16"/>
                <w:szCs w:val="16"/>
              </w:rPr>
              <w:t>1821056</w:t>
            </w:r>
          </w:p>
        </w:tc>
        <w:tc>
          <w:tcPr>
            <w:tcW w:w="851" w:type="dxa"/>
            <w:tcBorders>
              <w:bottom w:val="single" w:color="auto" w:sz="4" w:space="0"/>
            </w:tcBorders>
            <w:vAlign w:val="center"/>
          </w:tcPr>
          <w:p w14:paraId="5CFF05E8">
            <w:pPr>
              <w:jc w:val="center"/>
              <w:rPr>
                <w:rFonts w:cstheme="minorHAnsi"/>
                <w:color w:val="000000"/>
                <w:sz w:val="16"/>
                <w:szCs w:val="16"/>
              </w:rPr>
            </w:pPr>
            <w:r>
              <w:rPr>
                <w:rFonts w:cstheme="minorHAnsi"/>
                <w:bCs/>
                <w:sz w:val="16"/>
                <w:szCs w:val="16"/>
              </w:rPr>
              <w:t>487532</w:t>
            </w:r>
          </w:p>
        </w:tc>
        <w:tc>
          <w:tcPr>
            <w:tcW w:w="3019" w:type="dxa"/>
            <w:tcBorders>
              <w:bottom w:val="single" w:color="auto" w:sz="4" w:space="0"/>
            </w:tcBorders>
            <w:vAlign w:val="center"/>
          </w:tcPr>
          <w:p w14:paraId="6329C909">
            <w:pPr>
              <w:jc w:val="both"/>
              <w:rPr>
                <w:rFonts w:cstheme="minorHAnsi"/>
                <w:color w:val="000000"/>
                <w:sz w:val="16"/>
                <w:szCs w:val="16"/>
              </w:rPr>
            </w:pPr>
            <w:r>
              <w:rPr>
                <w:rFonts w:cstheme="minorHAnsi"/>
                <w:color w:val="000000"/>
                <w:sz w:val="16"/>
                <w:szCs w:val="16"/>
              </w:rPr>
              <w:t>FIO DE SUTURA, MATERIAL POLIPROPILENO MONOFILAMENTO, TIPO FIO 0, COR AZUL, COMPRIMENTO 75 CM, CARACTERÍSTICAS ADICIONAIS COM AGULHA, TIPO AGULHA 1/2 CÍRCULO CILÍNDRICA, COMPRIMENTO AGULHA 2,5 CM, ESTERILIDADE ESTÉRIL.FIO POLIPROPILENO 0 75CM 1AG 1/2 26MM.</w:t>
            </w:r>
          </w:p>
        </w:tc>
        <w:tc>
          <w:tcPr>
            <w:tcW w:w="992" w:type="dxa"/>
            <w:tcBorders>
              <w:bottom w:val="single" w:color="auto" w:sz="4" w:space="0"/>
            </w:tcBorders>
            <w:noWrap/>
            <w:vAlign w:val="center"/>
          </w:tcPr>
          <w:p w14:paraId="7518E9D1">
            <w:pPr>
              <w:jc w:val="center"/>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64C208C5">
            <w:pPr>
              <w:jc w:val="center"/>
              <w:rPr>
                <w:rFonts w:cstheme="minorHAnsi"/>
                <w:color w:val="000000"/>
                <w:sz w:val="16"/>
                <w:szCs w:val="16"/>
              </w:rPr>
            </w:pPr>
            <w:r>
              <w:rPr>
                <w:rFonts w:cstheme="minorHAnsi"/>
                <w:color w:val="000000"/>
                <w:sz w:val="16"/>
                <w:szCs w:val="16"/>
              </w:rPr>
              <w:t>800</w:t>
            </w:r>
          </w:p>
        </w:tc>
        <w:tc>
          <w:tcPr>
            <w:tcW w:w="1041" w:type="dxa"/>
            <w:tcBorders>
              <w:bottom w:val="single" w:color="auto" w:sz="4" w:space="0"/>
              <w:right w:val="single" w:color="auto" w:sz="4" w:space="0"/>
            </w:tcBorders>
            <w:vAlign w:val="center"/>
          </w:tcPr>
          <w:p w14:paraId="7CA2C2D2">
            <w:pPr>
              <w:jc w:val="center"/>
              <w:rPr>
                <w:rFonts w:cstheme="minorHAnsi"/>
                <w:color w:val="000000"/>
                <w:sz w:val="16"/>
                <w:szCs w:val="16"/>
              </w:rPr>
            </w:pPr>
            <w:r>
              <w:rPr>
                <w:rFonts w:cstheme="minorHAnsi"/>
                <w:color w:val="000000"/>
                <w:sz w:val="16"/>
                <w:szCs w:val="16"/>
              </w:rPr>
              <w:t>8,00</w:t>
            </w:r>
          </w:p>
        </w:tc>
        <w:tc>
          <w:tcPr>
            <w:tcW w:w="1587" w:type="dxa"/>
            <w:gridSpan w:val="2"/>
            <w:tcBorders>
              <w:top w:val="single" w:color="auto" w:sz="4" w:space="0"/>
              <w:left w:val="single" w:color="auto" w:sz="4" w:space="0"/>
              <w:bottom w:val="single" w:color="auto" w:sz="4" w:space="0"/>
              <w:right w:val="single" w:color="auto" w:sz="4" w:space="0"/>
            </w:tcBorders>
            <w:vAlign w:val="center"/>
          </w:tcPr>
          <w:p w14:paraId="6A97B5E1">
            <w:pPr>
              <w:jc w:val="right"/>
              <w:rPr>
                <w:rFonts w:cstheme="minorHAnsi"/>
                <w:color w:val="000000"/>
                <w:sz w:val="16"/>
                <w:szCs w:val="16"/>
              </w:rPr>
            </w:pPr>
            <w:r>
              <w:rPr>
                <w:rFonts w:cstheme="minorHAnsi"/>
                <w:color w:val="000000"/>
                <w:sz w:val="16"/>
                <w:szCs w:val="16"/>
              </w:rPr>
              <w:t>R$ 6.400,00</w:t>
            </w:r>
          </w:p>
        </w:tc>
      </w:tr>
      <w:tr w14:paraId="0992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3311" w:hRule="atLeast"/>
          <w:jc w:val="center"/>
        </w:trPr>
        <w:tc>
          <w:tcPr>
            <w:tcW w:w="421" w:type="dxa"/>
            <w:tcBorders>
              <w:left w:val="single" w:color="auto" w:sz="4" w:space="0"/>
              <w:bottom w:val="single" w:color="auto" w:sz="4" w:space="0"/>
              <w:right w:val="single" w:color="auto" w:sz="4" w:space="0"/>
            </w:tcBorders>
            <w:vAlign w:val="center"/>
          </w:tcPr>
          <w:p w14:paraId="14A13266">
            <w:pPr>
              <w:spacing w:line="276" w:lineRule="auto"/>
              <w:jc w:val="center"/>
              <w:rPr>
                <w:rFonts w:cstheme="minorHAnsi"/>
                <w:color w:val="000000"/>
                <w:sz w:val="16"/>
                <w:szCs w:val="16"/>
              </w:rPr>
            </w:pPr>
            <w:r>
              <w:rPr>
                <w:rFonts w:cstheme="minorHAnsi"/>
                <w:color w:val="000000"/>
                <w:sz w:val="16"/>
                <w:szCs w:val="16"/>
              </w:rPr>
              <w:t>6</w:t>
            </w:r>
          </w:p>
        </w:tc>
        <w:tc>
          <w:tcPr>
            <w:tcW w:w="850" w:type="dxa"/>
            <w:tcBorders>
              <w:left w:val="single" w:color="auto" w:sz="4" w:space="0"/>
              <w:bottom w:val="single" w:color="auto" w:sz="4" w:space="0"/>
            </w:tcBorders>
            <w:vAlign w:val="center"/>
          </w:tcPr>
          <w:p w14:paraId="548F84D2">
            <w:pPr>
              <w:spacing w:line="276" w:lineRule="auto"/>
              <w:jc w:val="center"/>
              <w:rPr>
                <w:rFonts w:cstheme="minorHAnsi"/>
                <w:color w:val="000000"/>
                <w:sz w:val="16"/>
                <w:szCs w:val="16"/>
              </w:rPr>
            </w:pPr>
            <w:r>
              <w:rPr>
                <w:rFonts w:cstheme="minorHAnsi"/>
                <w:color w:val="000000"/>
                <w:sz w:val="16"/>
                <w:szCs w:val="16"/>
              </w:rPr>
              <w:t>7453078</w:t>
            </w:r>
          </w:p>
        </w:tc>
        <w:tc>
          <w:tcPr>
            <w:tcW w:w="851" w:type="dxa"/>
            <w:tcBorders>
              <w:bottom w:val="single" w:color="auto" w:sz="4" w:space="0"/>
            </w:tcBorders>
            <w:vAlign w:val="center"/>
          </w:tcPr>
          <w:p w14:paraId="4CE5EA40">
            <w:pPr>
              <w:spacing w:line="276" w:lineRule="auto"/>
              <w:jc w:val="center"/>
              <w:rPr>
                <w:rFonts w:cstheme="minorHAnsi"/>
                <w:color w:val="000000"/>
                <w:sz w:val="16"/>
                <w:szCs w:val="16"/>
              </w:rPr>
            </w:pPr>
            <w:r>
              <w:rPr>
                <w:rFonts w:cstheme="minorHAnsi"/>
                <w:color w:val="495057"/>
                <w:sz w:val="16"/>
                <w:szCs w:val="16"/>
                <w:shd w:val="clear" w:color="auto" w:fill="FFFFFF"/>
              </w:rPr>
              <w:t>487517</w:t>
            </w:r>
          </w:p>
        </w:tc>
        <w:tc>
          <w:tcPr>
            <w:tcW w:w="3019" w:type="dxa"/>
            <w:tcBorders>
              <w:bottom w:val="single" w:color="auto" w:sz="4" w:space="0"/>
            </w:tcBorders>
            <w:vAlign w:val="center"/>
          </w:tcPr>
          <w:p w14:paraId="1A15A778">
            <w:pPr>
              <w:spacing w:line="276" w:lineRule="auto"/>
              <w:jc w:val="both"/>
              <w:rPr>
                <w:rFonts w:cstheme="minorHAnsi"/>
                <w:color w:val="000000"/>
                <w:sz w:val="16"/>
                <w:szCs w:val="16"/>
              </w:rPr>
            </w:pPr>
            <w:r>
              <w:rPr>
                <w:rFonts w:cstheme="minorHAnsi"/>
                <w:color w:val="000000"/>
                <w:sz w:val="16"/>
                <w:szCs w:val="16"/>
              </w:rPr>
              <w:t>FIO DE SUTURA, MATERIAL POLIPROPILENO MONOFILAMENTO, TIPO FIO 3-0, COR AZUL, COMPRIMENTO 75 CM, CARACTERÍSTICAS ADICIONAIS C/1 AGULHA EM CADA PONTA DO FIO, TIPO AGULHA 1/2 CÍRCULO CILÍNDRICA, COMPRIMENTO AGULHA 2,0 CM, ESTERILIDADE ESTÉRIL.FIO POLIPROPILENO 3-0 75CM 2AG 1/2 20MM, VARIAÇÃO+/-2MM.</w:t>
            </w:r>
          </w:p>
        </w:tc>
        <w:tc>
          <w:tcPr>
            <w:tcW w:w="992" w:type="dxa"/>
            <w:tcBorders>
              <w:bottom w:val="single" w:color="auto" w:sz="4" w:space="0"/>
            </w:tcBorders>
            <w:noWrap/>
            <w:vAlign w:val="center"/>
          </w:tcPr>
          <w:p w14:paraId="15A60191">
            <w:pPr>
              <w:spacing w:line="276" w:lineRule="auto"/>
              <w:rPr>
                <w:rFonts w:cstheme="minorHAnsi"/>
                <w:color w:val="000000"/>
                <w:sz w:val="16"/>
                <w:szCs w:val="16"/>
              </w:rPr>
            </w:pPr>
            <w:r>
              <w:rPr>
                <w:rFonts w:cstheme="minorHAnsi"/>
                <w:color w:val="000000"/>
                <w:sz w:val="16"/>
                <w:szCs w:val="16"/>
              </w:rPr>
              <w:t>ENVELOPE</w:t>
            </w:r>
          </w:p>
        </w:tc>
        <w:tc>
          <w:tcPr>
            <w:tcW w:w="851" w:type="dxa"/>
            <w:tcBorders>
              <w:bottom w:val="single" w:color="auto" w:sz="4" w:space="0"/>
            </w:tcBorders>
            <w:vAlign w:val="center"/>
          </w:tcPr>
          <w:p w14:paraId="2832CADD">
            <w:pPr>
              <w:spacing w:line="276" w:lineRule="auto"/>
              <w:jc w:val="center"/>
              <w:rPr>
                <w:rFonts w:cstheme="minorHAnsi"/>
                <w:color w:val="000000"/>
                <w:sz w:val="16"/>
                <w:szCs w:val="16"/>
              </w:rPr>
            </w:pPr>
            <w:r>
              <w:rPr>
                <w:rFonts w:cstheme="minorHAnsi"/>
                <w:color w:val="000000"/>
                <w:sz w:val="16"/>
                <w:szCs w:val="16"/>
              </w:rPr>
              <w:t>2.016</w:t>
            </w:r>
          </w:p>
        </w:tc>
        <w:tc>
          <w:tcPr>
            <w:tcW w:w="1041" w:type="dxa"/>
            <w:tcBorders>
              <w:bottom w:val="single" w:color="auto" w:sz="4" w:space="0"/>
              <w:right w:val="single" w:color="auto" w:sz="4" w:space="0"/>
            </w:tcBorders>
            <w:vAlign w:val="center"/>
          </w:tcPr>
          <w:p w14:paraId="3968519D">
            <w:pPr>
              <w:spacing w:line="276" w:lineRule="auto"/>
              <w:jc w:val="center"/>
              <w:rPr>
                <w:rFonts w:cstheme="minorHAnsi"/>
                <w:color w:val="000000"/>
                <w:sz w:val="16"/>
                <w:szCs w:val="16"/>
              </w:rPr>
            </w:pPr>
            <w:r>
              <w:rPr>
                <w:rFonts w:cstheme="minorHAnsi"/>
                <w:color w:val="000000"/>
                <w:sz w:val="16"/>
                <w:szCs w:val="16"/>
              </w:rPr>
              <w:t>14,50</w:t>
            </w:r>
          </w:p>
        </w:tc>
        <w:tc>
          <w:tcPr>
            <w:tcW w:w="1587" w:type="dxa"/>
            <w:gridSpan w:val="2"/>
            <w:tcBorders>
              <w:top w:val="single" w:color="auto" w:sz="4" w:space="0"/>
              <w:left w:val="single" w:color="auto" w:sz="4" w:space="0"/>
              <w:bottom w:val="single" w:color="auto" w:sz="4" w:space="0"/>
              <w:right w:val="single" w:color="auto" w:sz="4" w:space="0"/>
            </w:tcBorders>
            <w:vAlign w:val="center"/>
          </w:tcPr>
          <w:p w14:paraId="50DB1A1B">
            <w:pPr>
              <w:spacing w:line="276" w:lineRule="auto"/>
              <w:jc w:val="right"/>
              <w:rPr>
                <w:rFonts w:cstheme="minorHAnsi"/>
                <w:color w:val="000000"/>
                <w:sz w:val="16"/>
                <w:szCs w:val="16"/>
              </w:rPr>
            </w:pPr>
            <w:r>
              <w:rPr>
                <w:rFonts w:cstheme="minorHAnsi"/>
                <w:color w:val="000000"/>
                <w:sz w:val="16"/>
                <w:szCs w:val="16"/>
              </w:rPr>
              <w:t>R$ 29.232,00</w:t>
            </w:r>
          </w:p>
        </w:tc>
      </w:tr>
      <w:tr w14:paraId="47AF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983" w:hRule="atLeast"/>
          <w:jc w:val="center"/>
        </w:trPr>
        <w:tc>
          <w:tcPr>
            <w:tcW w:w="421" w:type="dxa"/>
            <w:tcBorders>
              <w:left w:val="single" w:color="auto" w:sz="4" w:space="0"/>
              <w:bottom w:val="single" w:color="auto" w:sz="4" w:space="0"/>
              <w:right w:val="single" w:color="auto" w:sz="4" w:space="0"/>
            </w:tcBorders>
            <w:vAlign w:val="center"/>
          </w:tcPr>
          <w:p w14:paraId="08C01772">
            <w:pPr>
              <w:spacing w:line="276" w:lineRule="auto"/>
              <w:jc w:val="center"/>
              <w:rPr>
                <w:rFonts w:cstheme="minorHAnsi"/>
                <w:color w:val="000000"/>
                <w:sz w:val="16"/>
                <w:szCs w:val="16"/>
              </w:rPr>
            </w:pPr>
            <w:r>
              <w:rPr>
                <w:rFonts w:cstheme="minorHAnsi"/>
                <w:color w:val="000000"/>
                <w:sz w:val="16"/>
                <w:szCs w:val="16"/>
              </w:rPr>
              <w:t>7</w:t>
            </w:r>
          </w:p>
        </w:tc>
        <w:tc>
          <w:tcPr>
            <w:tcW w:w="850" w:type="dxa"/>
            <w:tcBorders>
              <w:left w:val="single" w:color="auto" w:sz="4" w:space="0"/>
              <w:bottom w:val="single" w:color="auto" w:sz="4" w:space="0"/>
            </w:tcBorders>
            <w:vAlign w:val="center"/>
          </w:tcPr>
          <w:p w14:paraId="7A85D6E2">
            <w:pPr>
              <w:spacing w:line="276" w:lineRule="auto"/>
              <w:jc w:val="center"/>
              <w:rPr>
                <w:rFonts w:cstheme="minorHAnsi"/>
                <w:color w:val="000000"/>
                <w:sz w:val="16"/>
                <w:szCs w:val="16"/>
              </w:rPr>
            </w:pPr>
            <w:r>
              <w:rPr>
                <w:rFonts w:cstheme="minorHAnsi"/>
                <w:color w:val="000000"/>
                <w:sz w:val="16"/>
                <w:szCs w:val="16"/>
              </w:rPr>
              <w:t>7453188</w:t>
            </w:r>
          </w:p>
        </w:tc>
        <w:tc>
          <w:tcPr>
            <w:tcW w:w="851" w:type="dxa"/>
            <w:tcBorders>
              <w:bottom w:val="single" w:color="auto" w:sz="4" w:space="0"/>
            </w:tcBorders>
            <w:vAlign w:val="center"/>
          </w:tcPr>
          <w:p w14:paraId="22CCE898">
            <w:pPr>
              <w:spacing w:line="276" w:lineRule="auto"/>
              <w:jc w:val="center"/>
              <w:rPr>
                <w:rFonts w:cstheme="minorHAnsi"/>
                <w:color w:val="000000"/>
                <w:sz w:val="16"/>
                <w:szCs w:val="16"/>
              </w:rPr>
            </w:pPr>
            <w:r>
              <w:rPr>
                <w:rFonts w:cstheme="minorHAnsi"/>
                <w:color w:val="000000"/>
                <w:sz w:val="16"/>
                <w:szCs w:val="16"/>
              </w:rPr>
              <w:t>487173</w:t>
            </w:r>
          </w:p>
        </w:tc>
        <w:tc>
          <w:tcPr>
            <w:tcW w:w="3019" w:type="dxa"/>
            <w:tcBorders>
              <w:bottom w:val="single" w:color="auto" w:sz="4" w:space="0"/>
            </w:tcBorders>
            <w:vAlign w:val="center"/>
          </w:tcPr>
          <w:p w14:paraId="68AFE777">
            <w:pPr>
              <w:spacing w:line="276" w:lineRule="auto"/>
              <w:jc w:val="both"/>
              <w:rPr>
                <w:rFonts w:cstheme="minorHAnsi"/>
                <w:color w:val="000000"/>
                <w:sz w:val="16"/>
                <w:szCs w:val="16"/>
              </w:rPr>
            </w:pPr>
            <w:r>
              <w:rPr>
                <w:rFonts w:cstheme="minorHAnsi"/>
                <w:color w:val="000000"/>
                <w:sz w:val="16"/>
                <w:szCs w:val="16"/>
              </w:rPr>
              <w:t>FIO DE SUTURA AGULHADO, MATERIAL FIO: POLIGLACTINA VIOLETA, MODELO FIO: MULTIFILAMENTAR, COMPONENTE FIO: C/ BACTERIOSTÁTICO / BACTERICIDA, DIÂMETRO FIO: Nº 1, COMPRIMENTO FIO: CERCA DE 70 CM, TIPO AGULHA: AGULHA 1/2 CÍRCULO, MODELO AGULHA: CILÍNDRICA, COMPRIMENTO AGULHA: CERCA DE 40 MM, ESTERILIDADE: ESTÉRIL, APRESENTAÇÃO: EMBALAGEM INDIVIDUAL.</w:t>
            </w:r>
          </w:p>
          <w:p w14:paraId="5BC35858">
            <w:pPr>
              <w:spacing w:line="276" w:lineRule="auto"/>
              <w:jc w:val="both"/>
              <w:rPr>
                <w:rFonts w:cstheme="minorHAnsi"/>
                <w:color w:val="000000"/>
                <w:sz w:val="16"/>
                <w:szCs w:val="16"/>
              </w:rPr>
            </w:pPr>
            <w:r>
              <w:rPr>
                <w:rFonts w:cstheme="minorHAnsi"/>
                <w:sz w:val="16"/>
                <w:szCs w:val="16"/>
              </w:rPr>
              <w:t xml:space="preserve">CARACTERÍSTICAS ADICIONAIS: </w:t>
            </w:r>
            <w:r>
              <w:rPr>
                <w:rFonts w:cstheme="minorHAnsi"/>
                <w:color w:val="000000" w:themeColor="text1"/>
                <w:sz w:val="16"/>
                <w:szCs w:val="16"/>
                <w14:textFill>
                  <w14:solidFill>
                    <w14:schemeClr w14:val="tx1"/>
                  </w14:solidFill>
                </w14:textFill>
              </w:rPr>
              <w:t>OCOMPRIMENTO DA AGULHA PODERÁ VARIAR EM ATÉ +/- 2 MM.</w:t>
            </w:r>
          </w:p>
        </w:tc>
        <w:tc>
          <w:tcPr>
            <w:tcW w:w="992" w:type="dxa"/>
            <w:tcBorders>
              <w:bottom w:val="single" w:color="auto" w:sz="4" w:space="0"/>
            </w:tcBorders>
            <w:noWrap/>
            <w:vAlign w:val="center"/>
          </w:tcPr>
          <w:p w14:paraId="5BD045EB">
            <w:pPr>
              <w:spacing w:line="276" w:lineRule="auto"/>
              <w:jc w:val="center"/>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6B5B9D98">
            <w:pPr>
              <w:spacing w:line="276" w:lineRule="auto"/>
              <w:jc w:val="center"/>
              <w:rPr>
                <w:rFonts w:cstheme="minorHAnsi"/>
                <w:color w:val="000000"/>
                <w:sz w:val="16"/>
                <w:szCs w:val="16"/>
              </w:rPr>
            </w:pPr>
            <w:r>
              <w:rPr>
                <w:rFonts w:cstheme="minorHAnsi"/>
                <w:color w:val="000000"/>
                <w:sz w:val="16"/>
                <w:szCs w:val="16"/>
              </w:rPr>
              <w:t>3.000</w:t>
            </w:r>
          </w:p>
        </w:tc>
        <w:tc>
          <w:tcPr>
            <w:tcW w:w="1041" w:type="dxa"/>
            <w:tcBorders>
              <w:bottom w:val="single" w:color="auto" w:sz="4" w:space="0"/>
              <w:right w:val="single" w:color="auto" w:sz="4" w:space="0"/>
            </w:tcBorders>
            <w:vAlign w:val="center"/>
          </w:tcPr>
          <w:p w14:paraId="53F20751">
            <w:pPr>
              <w:spacing w:line="276" w:lineRule="auto"/>
              <w:rPr>
                <w:rFonts w:cstheme="minorHAnsi"/>
                <w:color w:val="000000"/>
                <w:sz w:val="16"/>
                <w:szCs w:val="16"/>
              </w:rPr>
            </w:pPr>
            <w:r>
              <w:rPr>
                <w:rFonts w:cstheme="minorHAnsi"/>
                <w:color w:val="000000"/>
                <w:sz w:val="16"/>
                <w:szCs w:val="16"/>
              </w:rPr>
              <w:t>12,00</w:t>
            </w:r>
          </w:p>
        </w:tc>
        <w:tc>
          <w:tcPr>
            <w:tcW w:w="1587" w:type="dxa"/>
            <w:gridSpan w:val="2"/>
            <w:tcBorders>
              <w:top w:val="single" w:color="auto" w:sz="4" w:space="0"/>
              <w:left w:val="single" w:color="auto" w:sz="4" w:space="0"/>
              <w:bottom w:val="single" w:color="auto" w:sz="4" w:space="0"/>
              <w:right w:val="single" w:color="auto" w:sz="4" w:space="0"/>
            </w:tcBorders>
          </w:tcPr>
          <w:p w14:paraId="5B1A79FA">
            <w:pPr>
              <w:spacing w:line="276" w:lineRule="auto"/>
              <w:jc w:val="right"/>
              <w:rPr>
                <w:rFonts w:cstheme="minorHAnsi"/>
                <w:color w:val="000000"/>
                <w:sz w:val="16"/>
                <w:szCs w:val="16"/>
              </w:rPr>
            </w:pPr>
          </w:p>
          <w:p w14:paraId="148EA795">
            <w:pPr>
              <w:spacing w:line="276" w:lineRule="auto"/>
              <w:jc w:val="right"/>
              <w:rPr>
                <w:rFonts w:cstheme="minorHAnsi"/>
                <w:color w:val="000000"/>
                <w:sz w:val="16"/>
                <w:szCs w:val="16"/>
              </w:rPr>
            </w:pPr>
          </w:p>
          <w:p w14:paraId="39C9C2CE">
            <w:pPr>
              <w:spacing w:line="276" w:lineRule="auto"/>
              <w:jc w:val="right"/>
              <w:rPr>
                <w:rFonts w:cstheme="minorHAnsi"/>
                <w:color w:val="000000"/>
                <w:sz w:val="16"/>
                <w:szCs w:val="16"/>
              </w:rPr>
            </w:pPr>
          </w:p>
          <w:p w14:paraId="2A58891F">
            <w:pPr>
              <w:spacing w:line="276" w:lineRule="auto"/>
              <w:jc w:val="right"/>
              <w:rPr>
                <w:rFonts w:cstheme="minorHAnsi"/>
                <w:color w:val="000000"/>
                <w:sz w:val="16"/>
                <w:szCs w:val="16"/>
              </w:rPr>
            </w:pPr>
          </w:p>
          <w:p w14:paraId="3B6C6B33">
            <w:pPr>
              <w:spacing w:line="276" w:lineRule="auto"/>
              <w:jc w:val="right"/>
              <w:rPr>
                <w:rFonts w:cstheme="minorHAnsi"/>
                <w:color w:val="000000"/>
                <w:sz w:val="16"/>
                <w:szCs w:val="16"/>
              </w:rPr>
            </w:pPr>
          </w:p>
          <w:p w14:paraId="6A6D5026">
            <w:pPr>
              <w:spacing w:line="276" w:lineRule="auto"/>
              <w:jc w:val="right"/>
              <w:rPr>
                <w:rFonts w:cstheme="minorHAnsi"/>
                <w:color w:val="000000"/>
                <w:sz w:val="16"/>
                <w:szCs w:val="16"/>
              </w:rPr>
            </w:pPr>
            <w:r>
              <w:rPr>
                <w:rFonts w:cstheme="minorHAnsi"/>
                <w:color w:val="000000"/>
                <w:sz w:val="16"/>
                <w:szCs w:val="16"/>
              </w:rPr>
              <w:t>R$ 36.000,00</w:t>
            </w:r>
          </w:p>
        </w:tc>
      </w:tr>
      <w:tr w14:paraId="3554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2124" w:hRule="atLeast"/>
          <w:jc w:val="center"/>
        </w:trPr>
        <w:tc>
          <w:tcPr>
            <w:tcW w:w="421" w:type="dxa"/>
            <w:tcBorders>
              <w:left w:val="single" w:color="auto" w:sz="4" w:space="0"/>
              <w:bottom w:val="single" w:color="auto" w:sz="4" w:space="0"/>
              <w:right w:val="single" w:color="auto" w:sz="4" w:space="0"/>
            </w:tcBorders>
            <w:vAlign w:val="center"/>
          </w:tcPr>
          <w:p w14:paraId="55C5B746">
            <w:pPr>
              <w:spacing w:line="276" w:lineRule="auto"/>
              <w:jc w:val="center"/>
              <w:rPr>
                <w:rFonts w:cstheme="minorHAnsi"/>
                <w:color w:val="000000"/>
                <w:sz w:val="16"/>
                <w:szCs w:val="16"/>
              </w:rPr>
            </w:pPr>
            <w:r>
              <w:rPr>
                <w:rFonts w:cstheme="minorHAnsi"/>
                <w:color w:val="000000"/>
                <w:sz w:val="16"/>
                <w:szCs w:val="16"/>
              </w:rPr>
              <w:t>8</w:t>
            </w:r>
          </w:p>
        </w:tc>
        <w:tc>
          <w:tcPr>
            <w:tcW w:w="850" w:type="dxa"/>
            <w:tcBorders>
              <w:left w:val="single" w:color="auto" w:sz="4" w:space="0"/>
              <w:bottom w:val="single" w:color="auto" w:sz="4" w:space="0"/>
            </w:tcBorders>
            <w:vAlign w:val="center"/>
          </w:tcPr>
          <w:p w14:paraId="3392CDA5">
            <w:pPr>
              <w:spacing w:line="276" w:lineRule="auto"/>
              <w:jc w:val="center"/>
              <w:rPr>
                <w:rFonts w:cstheme="minorHAnsi"/>
                <w:color w:val="000000"/>
                <w:sz w:val="16"/>
                <w:szCs w:val="16"/>
              </w:rPr>
            </w:pPr>
            <w:r>
              <w:rPr>
                <w:rFonts w:cstheme="minorHAnsi"/>
                <w:color w:val="000000"/>
                <w:sz w:val="16"/>
                <w:szCs w:val="16"/>
              </w:rPr>
              <w:t>1822994</w:t>
            </w:r>
          </w:p>
        </w:tc>
        <w:tc>
          <w:tcPr>
            <w:tcW w:w="851" w:type="dxa"/>
            <w:tcBorders>
              <w:bottom w:val="single" w:color="auto" w:sz="4" w:space="0"/>
            </w:tcBorders>
            <w:vAlign w:val="center"/>
          </w:tcPr>
          <w:p w14:paraId="360A31F2">
            <w:pPr>
              <w:spacing w:line="276" w:lineRule="auto"/>
              <w:jc w:val="center"/>
              <w:rPr>
                <w:rFonts w:cstheme="minorHAnsi"/>
                <w:color w:val="000000"/>
                <w:sz w:val="16"/>
                <w:szCs w:val="16"/>
              </w:rPr>
            </w:pPr>
            <w:r>
              <w:rPr>
                <w:rFonts w:cstheme="minorHAnsi"/>
                <w:color w:val="000000"/>
                <w:sz w:val="16"/>
                <w:szCs w:val="16"/>
              </w:rPr>
              <w:t>487249</w:t>
            </w:r>
          </w:p>
        </w:tc>
        <w:tc>
          <w:tcPr>
            <w:tcW w:w="3019" w:type="dxa"/>
            <w:tcBorders>
              <w:bottom w:val="single" w:color="auto" w:sz="4" w:space="0"/>
            </w:tcBorders>
            <w:vAlign w:val="center"/>
          </w:tcPr>
          <w:p w14:paraId="43C06CF6">
            <w:pPr>
              <w:spacing w:line="276" w:lineRule="auto"/>
              <w:jc w:val="both"/>
              <w:rPr>
                <w:rFonts w:cstheme="minorHAnsi"/>
                <w:color w:val="000000"/>
                <w:sz w:val="16"/>
                <w:szCs w:val="16"/>
              </w:rPr>
            </w:pPr>
            <w:r>
              <w:rPr>
                <w:rFonts w:cstheme="minorHAnsi"/>
                <w:color w:val="000000"/>
                <w:sz w:val="16"/>
                <w:szCs w:val="16"/>
              </w:rPr>
              <w:t>FIO DE SUTURA AGULHADO, MATERIAL FIO: POLIGLECAPRONE INCOLOR, MODELO FIO: MONOFILAMENTAR, COMPONENTE FIO: C/ BACTERIOSTÁTICO / BACTERICIDA, DIÂMETRO FIO: 3-0, COMPRIMENTO FIO: CERCA DE 70 CM, TIPO AGULHA: AGULHA 3/8 CÍRCULO, MODELO AGULHA: CORTANTE REVERSA / INVERTIDA, COMPRIMENTO AGULHA: CERCA DE 20 MM, ESTERILIDADE: ESTÉRIL, APRESENTAÇÃO: EMBALAGEM INDIVIDUAL.</w:t>
            </w:r>
          </w:p>
          <w:p w14:paraId="5CD26FDA">
            <w:pPr>
              <w:spacing w:line="276" w:lineRule="auto"/>
              <w:jc w:val="both"/>
              <w:rPr>
                <w:rFonts w:cstheme="minorHAnsi"/>
                <w:color w:val="000000"/>
                <w:sz w:val="16"/>
                <w:szCs w:val="16"/>
              </w:rPr>
            </w:pPr>
            <w:r>
              <w:rPr>
                <w:rFonts w:cstheme="minorHAnsi"/>
                <w:sz w:val="16"/>
                <w:szCs w:val="16"/>
              </w:rPr>
              <w:t xml:space="preserve">CARACTERÍSTICAS ADICIONAIS: </w:t>
            </w:r>
            <w:r>
              <w:rPr>
                <w:rFonts w:cstheme="minorHAnsi"/>
                <w:color w:val="000000" w:themeColor="text1"/>
                <w:sz w:val="16"/>
                <w:szCs w:val="16"/>
                <w14:textFill>
                  <w14:solidFill>
                    <w14:schemeClr w14:val="tx1"/>
                  </w14:solidFill>
                </w14:textFill>
              </w:rPr>
              <w:t>O CORPO DA AGULHA DEVERÁ SER RETANGULAR OU QUADRADO E O COMPRIMENTO DA MESMA PODERÁ VARIAR EM ATÉ +/- 1 MM.</w:t>
            </w:r>
          </w:p>
        </w:tc>
        <w:tc>
          <w:tcPr>
            <w:tcW w:w="992" w:type="dxa"/>
            <w:tcBorders>
              <w:bottom w:val="single" w:color="auto" w:sz="4" w:space="0"/>
            </w:tcBorders>
            <w:noWrap/>
            <w:vAlign w:val="center"/>
          </w:tcPr>
          <w:p w14:paraId="06C60078">
            <w:pPr>
              <w:spacing w:line="276" w:lineRule="auto"/>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283F93B8">
            <w:pPr>
              <w:spacing w:line="276" w:lineRule="auto"/>
              <w:rPr>
                <w:rFonts w:cstheme="minorHAnsi"/>
                <w:color w:val="000000"/>
                <w:sz w:val="16"/>
                <w:szCs w:val="16"/>
              </w:rPr>
            </w:pPr>
            <w:r>
              <w:rPr>
                <w:rFonts w:cstheme="minorHAnsi"/>
                <w:color w:val="000000"/>
                <w:sz w:val="16"/>
                <w:szCs w:val="16"/>
              </w:rPr>
              <w:t>5.000</w:t>
            </w:r>
          </w:p>
        </w:tc>
        <w:tc>
          <w:tcPr>
            <w:tcW w:w="1041" w:type="dxa"/>
            <w:tcBorders>
              <w:bottom w:val="single" w:color="auto" w:sz="4" w:space="0"/>
              <w:right w:val="single" w:color="auto" w:sz="4" w:space="0"/>
            </w:tcBorders>
            <w:vAlign w:val="center"/>
          </w:tcPr>
          <w:p w14:paraId="6D81B831">
            <w:pPr>
              <w:spacing w:line="276" w:lineRule="auto"/>
              <w:jc w:val="right"/>
              <w:rPr>
                <w:rFonts w:cstheme="minorHAnsi"/>
                <w:color w:val="000000"/>
                <w:sz w:val="16"/>
                <w:szCs w:val="16"/>
              </w:rPr>
            </w:pPr>
            <w:r>
              <w:rPr>
                <w:rFonts w:cstheme="minorHAnsi"/>
                <w:color w:val="000000"/>
                <w:sz w:val="16"/>
                <w:szCs w:val="16"/>
              </w:rPr>
              <w:t>21,00</w:t>
            </w:r>
          </w:p>
        </w:tc>
        <w:tc>
          <w:tcPr>
            <w:tcW w:w="1587" w:type="dxa"/>
            <w:gridSpan w:val="2"/>
            <w:tcBorders>
              <w:top w:val="single" w:color="auto" w:sz="4" w:space="0"/>
              <w:left w:val="single" w:color="auto" w:sz="4" w:space="0"/>
              <w:bottom w:val="single" w:color="auto" w:sz="4" w:space="0"/>
              <w:right w:val="single" w:color="auto" w:sz="4" w:space="0"/>
            </w:tcBorders>
          </w:tcPr>
          <w:p w14:paraId="228A33B8">
            <w:pPr>
              <w:spacing w:line="276" w:lineRule="auto"/>
              <w:jc w:val="right"/>
              <w:rPr>
                <w:rFonts w:cstheme="minorHAnsi"/>
                <w:color w:val="000000"/>
                <w:sz w:val="16"/>
                <w:szCs w:val="16"/>
              </w:rPr>
            </w:pPr>
          </w:p>
          <w:p w14:paraId="0D8DCFE4">
            <w:pPr>
              <w:spacing w:line="276" w:lineRule="auto"/>
              <w:jc w:val="right"/>
              <w:rPr>
                <w:rFonts w:cstheme="minorHAnsi"/>
                <w:color w:val="000000"/>
                <w:sz w:val="16"/>
                <w:szCs w:val="16"/>
              </w:rPr>
            </w:pPr>
          </w:p>
          <w:p w14:paraId="1B7B0E13">
            <w:pPr>
              <w:spacing w:line="276" w:lineRule="auto"/>
              <w:jc w:val="right"/>
              <w:rPr>
                <w:rFonts w:cstheme="minorHAnsi"/>
                <w:color w:val="000000"/>
                <w:sz w:val="16"/>
                <w:szCs w:val="16"/>
              </w:rPr>
            </w:pPr>
          </w:p>
          <w:p w14:paraId="394A1995">
            <w:pPr>
              <w:spacing w:line="276" w:lineRule="auto"/>
              <w:jc w:val="right"/>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R$ 105.000,00</w:t>
            </w:r>
          </w:p>
        </w:tc>
      </w:tr>
      <w:tr w14:paraId="744D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3400" w:hRule="atLeast"/>
          <w:jc w:val="center"/>
        </w:trPr>
        <w:tc>
          <w:tcPr>
            <w:tcW w:w="421" w:type="dxa"/>
            <w:tcBorders>
              <w:left w:val="single" w:color="auto" w:sz="4" w:space="0"/>
              <w:bottom w:val="single" w:color="auto" w:sz="4" w:space="0"/>
              <w:right w:val="single" w:color="auto" w:sz="4" w:space="0"/>
            </w:tcBorders>
            <w:vAlign w:val="center"/>
          </w:tcPr>
          <w:p w14:paraId="19FD108F">
            <w:pPr>
              <w:spacing w:line="276" w:lineRule="auto"/>
              <w:jc w:val="center"/>
              <w:rPr>
                <w:rFonts w:cstheme="minorHAnsi"/>
                <w:color w:val="000000"/>
                <w:sz w:val="16"/>
                <w:szCs w:val="16"/>
              </w:rPr>
            </w:pPr>
            <w:r>
              <w:rPr>
                <w:rFonts w:cstheme="minorHAnsi"/>
                <w:color w:val="000000"/>
                <w:sz w:val="16"/>
                <w:szCs w:val="16"/>
              </w:rPr>
              <w:t>9</w:t>
            </w:r>
          </w:p>
        </w:tc>
        <w:tc>
          <w:tcPr>
            <w:tcW w:w="850" w:type="dxa"/>
            <w:tcBorders>
              <w:left w:val="single" w:color="auto" w:sz="4" w:space="0"/>
              <w:bottom w:val="single" w:color="auto" w:sz="4" w:space="0"/>
            </w:tcBorders>
            <w:vAlign w:val="center"/>
          </w:tcPr>
          <w:p w14:paraId="6485DB1C">
            <w:pPr>
              <w:spacing w:line="276" w:lineRule="auto"/>
              <w:jc w:val="center"/>
              <w:rPr>
                <w:rFonts w:cstheme="minorHAnsi"/>
                <w:sz w:val="16"/>
                <w:szCs w:val="16"/>
              </w:rPr>
            </w:pPr>
            <w:r>
              <w:rPr>
                <w:rFonts w:cstheme="minorHAnsi"/>
                <w:sz w:val="16"/>
                <w:szCs w:val="16"/>
              </w:rPr>
              <w:t>1823011</w:t>
            </w:r>
          </w:p>
        </w:tc>
        <w:tc>
          <w:tcPr>
            <w:tcW w:w="851" w:type="dxa"/>
            <w:tcBorders>
              <w:bottom w:val="single" w:color="auto" w:sz="4" w:space="0"/>
            </w:tcBorders>
            <w:vAlign w:val="center"/>
          </w:tcPr>
          <w:p w14:paraId="69C6AB79">
            <w:pPr>
              <w:spacing w:line="276" w:lineRule="auto"/>
              <w:jc w:val="center"/>
              <w:rPr>
                <w:rFonts w:cstheme="minorHAnsi"/>
                <w:color w:val="000000"/>
                <w:sz w:val="16"/>
                <w:szCs w:val="16"/>
              </w:rPr>
            </w:pPr>
            <w:r>
              <w:rPr>
                <w:rFonts w:cstheme="minorHAnsi"/>
                <w:sz w:val="16"/>
                <w:szCs w:val="16"/>
              </w:rPr>
              <w:t>487489</w:t>
            </w:r>
          </w:p>
        </w:tc>
        <w:tc>
          <w:tcPr>
            <w:tcW w:w="3019" w:type="dxa"/>
            <w:tcBorders>
              <w:bottom w:val="single" w:color="auto" w:sz="4" w:space="0"/>
            </w:tcBorders>
            <w:vAlign w:val="center"/>
          </w:tcPr>
          <w:p w14:paraId="5B8FAA5E">
            <w:pPr>
              <w:spacing w:line="276" w:lineRule="auto"/>
              <w:jc w:val="both"/>
              <w:rPr>
                <w:rFonts w:cstheme="minorHAnsi"/>
                <w:color w:val="000000"/>
                <w:sz w:val="16"/>
                <w:szCs w:val="16"/>
              </w:rPr>
            </w:pPr>
            <w:r>
              <w:rPr>
                <w:rFonts w:cstheme="minorHAnsi"/>
                <w:color w:val="000000"/>
                <w:sz w:val="16"/>
                <w:szCs w:val="16"/>
              </w:rPr>
              <w:t>FIO DE SUTURA AGULHADO, MATERIAL FIO: POLIPROPILENO AZUL, MODELO FIO: MONOFILAMENTAR, DIÂMETRO FIO: 6-0, COMPRIMENTO FIO: CERCA DE 70 CM, TIPO AGULHA: 2 AGULHAS 3/8 CÍRCULO NAS EXTREMIDADES, MODELO AGULHA: CORTANTE, COMPRIMENTO AGULHA: CERCA DE 14 MM, ESTERILIDADE: ESTÉRIL, APRESENTAÇÃO: EMBALAGEM INDIVIDUAL.</w:t>
            </w:r>
          </w:p>
          <w:p w14:paraId="2D600733">
            <w:pPr>
              <w:spacing w:line="276" w:lineRule="auto"/>
              <w:jc w:val="both"/>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CARACTERÍSTICAS ADICIONAIS:O CORPO DA AGULHA DEVERÁ SER RETANGULAR OU QUADRADO, O COMPRIMENTO DA MESMA DEVERÁ SER 13 MM E O COMPRIMENTO DO FIO PODERÁ VARIAR EM ATÉ +/- 5 CM.</w:t>
            </w:r>
          </w:p>
        </w:tc>
        <w:tc>
          <w:tcPr>
            <w:tcW w:w="992" w:type="dxa"/>
            <w:tcBorders>
              <w:bottom w:val="single" w:color="auto" w:sz="4" w:space="0"/>
            </w:tcBorders>
            <w:noWrap/>
            <w:vAlign w:val="center"/>
          </w:tcPr>
          <w:p w14:paraId="51673654">
            <w:pPr>
              <w:spacing w:line="276" w:lineRule="auto"/>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30DFE916">
            <w:pPr>
              <w:spacing w:line="276" w:lineRule="auto"/>
              <w:rPr>
                <w:rFonts w:cstheme="minorHAnsi"/>
                <w:color w:val="000000"/>
                <w:sz w:val="16"/>
                <w:szCs w:val="16"/>
              </w:rPr>
            </w:pPr>
            <w:r>
              <w:rPr>
                <w:rFonts w:cstheme="minorHAnsi"/>
                <w:color w:val="000000"/>
                <w:sz w:val="16"/>
                <w:szCs w:val="16"/>
              </w:rPr>
              <w:t>11.000</w:t>
            </w:r>
          </w:p>
        </w:tc>
        <w:tc>
          <w:tcPr>
            <w:tcW w:w="1041" w:type="dxa"/>
            <w:tcBorders>
              <w:bottom w:val="single" w:color="auto" w:sz="4" w:space="0"/>
              <w:right w:val="single" w:color="auto" w:sz="4" w:space="0"/>
            </w:tcBorders>
            <w:vAlign w:val="center"/>
          </w:tcPr>
          <w:p w14:paraId="636E1486">
            <w:pPr>
              <w:spacing w:line="276" w:lineRule="auto"/>
              <w:rPr>
                <w:rFonts w:cstheme="minorHAnsi"/>
                <w:color w:val="000000"/>
                <w:sz w:val="16"/>
                <w:szCs w:val="16"/>
              </w:rPr>
            </w:pPr>
            <w:r>
              <w:rPr>
                <w:rFonts w:cstheme="minorHAnsi"/>
                <w:color w:val="000000"/>
                <w:sz w:val="16"/>
                <w:szCs w:val="16"/>
              </w:rPr>
              <w:t>26,50</w:t>
            </w:r>
          </w:p>
        </w:tc>
        <w:tc>
          <w:tcPr>
            <w:tcW w:w="1587" w:type="dxa"/>
            <w:gridSpan w:val="2"/>
            <w:tcBorders>
              <w:top w:val="single" w:color="auto" w:sz="4" w:space="0"/>
              <w:left w:val="single" w:color="auto" w:sz="4" w:space="0"/>
              <w:bottom w:val="single" w:color="auto" w:sz="4" w:space="0"/>
              <w:right w:val="single" w:color="auto" w:sz="4" w:space="0"/>
            </w:tcBorders>
          </w:tcPr>
          <w:p w14:paraId="0B75164B">
            <w:pPr>
              <w:spacing w:line="276" w:lineRule="auto"/>
              <w:jc w:val="right"/>
              <w:rPr>
                <w:rFonts w:cstheme="minorHAnsi"/>
                <w:color w:val="000000" w:themeColor="text1"/>
                <w:sz w:val="16"/>
                <w:szCs w:val="16"/>
                <w14:textFill>
                  <w14:solidFill>
                    <w14:schemeClr w14:val="tx1"/>
                  </w14:solidFill>
                </w14:textFill>
              </w:rPr>
            </w:pPr>
          </w:p>
          <w:p w14:paraId="23B303C8">
            <w:pPr>
              <w:spacing w:line="276" w:lineRule="auto"/>
              <w:jc w:val="right"/>
              <w:rPr>
                <w:rFonts w:cstheme="minorHAnsi"/>
                <w:color w:val="000000" w:themeColor="text1"/>
                <w:sz w:val="16"/>
                <w:szCs w:val="16"/>
                <w14:textFill>
                  <w14:solidFill>
                    <w14:schemeClr w14:val="tx1"/>
                  </w14:solidFill>
                </w14:textFill>
              </w:rPr>
            </w:pPr>
          </w:p>
          <w:p w14:paraId="5034ECA2">
            <w:pPr>
              <w:spacing w:line="276" w:lineRule="auto"/>
              <w:jc w:val="right"/>
              <w:rPr>
                <w:rFonts w:cstheme="minorHAnsi"/>
                <w:color w:val="000000" w:themeColor="text1"/>
                <w:sz w:val="16"/>
                <w:szCs w:val="16"/>
                <w14:textFill>
                  <w14:solidFill>
                    <w14:schemeClr w14:val="tx1"/>
                  </w14:solidFill>
                </w14:textFill>
              </w:rPr>
            </w:pPr>
          </w:p>
          <w:p w14:paraId="4B192BC4">
            <w:pPr>
              <w:spacing w:line="276" w:lineRule="auto"/>
              <w:jc w:val="right"/>
              <w:rPr>
                <w:rFonts w:cstheme="minorHAnsi"/>
                <w:color w:val="000000" w:themeColor="text1"/>
                <w:sz w:val="16"/>
                <w:szCs w:val="16"/>
                <w14:textFill>
                  <w14:solidFill>
                    <w14:schemeClr w14:val="tx1"/>
                  </w14:solidFill>
                </w14:textFill>
              </w:rPr>
            </w:pPr>
          </w:p>
          <w:p w14:paraId="722A3430">
            <w:pPr>
              <w:spacing w:line="276" w:lineRule="auto"/>
              <w:jc w:val="right"/>
              <w:rPr>
                <w:rFonts w:cstheme="minorHAnsi"/>
                <w:color w:val="000000" w:themeColor="text1"/>
                <w:sz w:val="16"/>
                <w:szCs w:val="16"/>
                <w14:textFill>
                  <w14:solidFill>
                    <w14:schemeClr w14:val="tx1"/>
                  </w14:solidFill>
                </w14:textFill>
              </w:rPr>
            </w:pPr>
          </w:p>
          <w:p w14:paraId="6FF15B74">
            <w:pPr>
              <w:spacing w:line="276" w:lineRule="auto"/>
              <w:jc w:val="right"/>
              <w:rPr>
                <w:rFonts w:cstheme="minorHAnsi"/>
                <w:color w:val="000000" w:themeColor="text1"/>
                <w:sz w:val="16"/>
                <w:szCs w:val="16"/>
                <w14:textFill>
                  <w14:solidFill>
                    <w14:schemeClr w14:val="tx1"/>
                  </w14:solidFill>
                </w14:textFill>
              </w:rPr>
            </w:pPr>
          </w:p>
          <w:p w14:paraId="15E81A76">
            <w:pPr>
              <w:spacing w:line="276" w:lineRule="auto"/>
              <w:jc w:val="right"/>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R$ 291.500,00</w:t>
            </w:r>
          </w:p>
        </w:tc>
      </w:tr>
      <w:tr w14:paraId="49EF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3400" w:hRule="atLeast"/>
          <w:jc w:val="center"/>
        </w:trPr>
        <w:tc>
          <w:tcPr>
            <w:tcW w:w="421" w:type="dxa"/>
            <w:tcBorders>
              <w:left w:val="single" w:color="auto" w:sz="4" w:space="0"/>
              <w:bottom w:val="single" w:color="auto" w:sz="4" w:space="0"/>
              <w:right w:val="single" w:color="auto" w:sz="4" w:space="0"/>
            </w:tcBorders>
            <w:vAlign w:val="center"/>
          </w:tcPr>
          <w:p w14:paraId="1117CDAA">
            <w:pPr>
              <w:spacing w:line="276" w:lineRule="auto"/>
              <w:jc w:val="center"/>
              <w:rPr>
                <w:rFonts w:cstheme="minorHAnsi"/>
                <w:color w:val="000000"/>
                <w:sz w:val="16"/>
                <w:szCs w:val="16"/>
              </w:rPr>
            </w:pPr>
            <w:r>
              <w:rPr>
                <w:rFonts w:cstheme="minorHAnsi"/>
                <w:color w:val="000000"/>
                <w:sz w:val="16"/>
                <w:szCs w:val="16"/>
              </w:rPr>
              <w:t>10</w:t>
            </w:r>
          </w:p>
        </w:tc>
        <w:tc>
          <w:tcPr>
            <w:tcW w:w="850" w:type="dxa"/>
            <w:tcBorders>
              <w:left w:val="single" w:color="auto" w:sz="4" w:space="0"/>
              <w:bottom w:val="single" w:color="auto" w:sz="4" w:space="0"/>
            </w:tcBorders>
            <w:vAlign w:val="center"/>
          </w:tcPr>
          <w:p w14:paraId="650F77B2">
            <w:pPr>
              <w:spacing w:line="276" w:lineRule="auto"/>
              <w:jc w:val="center"/>
              <w:rPr>
                <w:rFonts w:cstheme="minorHAnsi"/>
                <w:sz w:val="16"/>
                <w:szCs w:val="16"/>
              </w:rPr>
            </w:pPr>
            <w:r>
              <w:rPr>
                <w:rFonts w:cstheme="minorHAnsi"/>
                <w:sz w:val="16"/>
                <w:szCs w:val="16"/>
              </w:rPr>
              <w:t>1899454</w:t>
            </w:r>
          </w:p>
        </w:tc>
        <w:tc>
          <w:tcPr>
            <w:tcW w:w="851" w:type="dxa"/>
            <w:tcBorders>
              <w:bottom w:val="single" w:color="auto" w:sz="4" w:space="0"/>
            </w:tcBorders>
            <w:vAlign w:val="center"/>
          </w:tcPr>
          <w:p w14:paraId="23C03C48">
            <w:pPr>
              <w:spacing w:line="276" w:lineRule="auto"/>
              <w:jc w:val="center"/>
              <w:rPr>
                <w:rFonts w:cstheme="minorHAnsi"/>
                <w:color w:val="000000"/>
                <w:sz w:val="16"/>
                <w:szCs w:val="16"/>
              </w:rPr>
            </w:pPr>
            <w:r>
              <w:rPr>
                <w:rFonts w:cstheme="minorHAnsi"/>
                <w:sz w:val="16"/>
                <w:szCs w:val="16"/>
              </w:rPr>
              <w:t>487498</w:t>
            </w:r>
          </w:p>
        </w:tc>
        <w:tc>
          <w:tcPr>
            <w:tcW w:w="3019" w:type="dxa"/>
            <w:tcBorders>
              <w:bottom w:val="single" w:color="auto" w:sz="4" w:space="0"/>
            </w:tcBorders>
            <w:vAlign w:val="center"/>
          </w:tcPr>
          <w:p w14:paraId="3732DA96">
            <w:pPr>
              <w:spacing w:line="276" w:lineRule="auto"/>
              <w:jc w:val="both"/>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FIO DE SUTURA AGULHADO, MATERIAL FIO: POLIPROPILENO AZUL, MODELO FIO: MONOFILAMENTAR, DIÂMETRO FIO: 5-0, COMPRIMENTO FIO: CERCA DE 70 CM, TIPO AGULHA: 2 AGULHAS 3/8 CÍRCULO NAS EXTREMIDADES, MODELO AGULHA: CILÍNDRICA, COMPRIMENTO AGULHA: CERCA DE 14 MM, ESTERILIDADE: ESTÉRIL, APRESENTAÇÃO: EMBALAGEM INDIVIDUAL.</w:t>
            </w:r>
          </w:p>
          <w:p w14:paraId="4489B1DA">
            <w:pPr>
              <w:spacing w:line="276" w:lineRule="auto"/>
              <w:jc w:val="both"/>
              <w:rPr>
                <w:rFonts w:cstheme="minorHAnsi"/>
                <w:b/>
                <w:color w:val="000000"/>
                <w:sz w:val="16"/>
                <w:szCs w:val="16"/>
              </w:rPr>
            </w:pPr>
            <w:r>
              <w:rPr>
                <w:rFonts w:cstheme="minorHAnsi"/>
                <w:color w:val="000000" w:themeColor="text1"/>
                <w:sz w:val="16"/>
                <w:szCs w:val="16"/>
                <w14:textFill>
                  <w14:solidFill>
                    <w14:schemeClr w14:val="tx1"/>
                  </w14:solidFill>
                </w14:textFill>
              </w:rPr>
              <w:t>CARACTERÍSTICAS ADICIONAIS: O CORPO DA AGULHA DEVERÁ SER RETANGULAR OU QUADRADO, O COMPRIMENTO DA MESMA DEVERÁ SER 9,3 MM E O COMPRIMENTO DO FIO DEVERÁ SER 60 CM.</w:t>
            </w:r>
          </w:p>
        </w:tc>
        <w:tc>
          <w:tcPr>
            <w:tcW w:w="992" w:type="dxa"/>
            <w:tcBorders>
              <w:bottom w:val="single" w:color="auto" w:sz="4" w:space="0"/>
            </w:tcBorders>
            <w:noWrap/>
            <w:vAlign w:val="center"/>
          </w:tcPr>
          <w:p w14:paraId="4452164E">
            <w:pPr>
              <w:spacing w:line="276" w:lineRule="auto"/>
              <w:jc w:val="center"/>
              <w:rPr>
                <w:rFonts w:cstheme="minorHAnsi"/>
                <w:color w:val="000000"/>
                <w:sz w:val="16"/>
                <w:szCs w:val="16"/>
              </w:rPr>
            </w:pPr>
          </w:p>
          <w:p w14:paraId="0CF13B2F">
            <w:pPr>
              <w:spacing w:line="276" w:lineRule="auto"/>
              <w:jc w:val="center"/>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1056977E">
            <w:pPr>
              <w:spacing w:line="276" w:lineRule="auto"/>
              <w:jc w:val="center"/>
              <w:rPr>
                <w:rFonts w:cstheme="minorHAnsi"/>
                <w:color w:val="000000"/>
                <w:sz w:val="16"/>
                <w:szCs w:val="16"/>
              </w:rPr>
            </w:pPr>
          </w:p>
          <w:p w14:paraId="5E1AAB59">
            <w:pPr>
              <w:spacing w:line="276" w:lineRule="auto"/>
              <w:jc w:val="center"/>
              <w:rPr>
                <w:rFonts w:cstheme="minorHAnsi"/>
                <w:color w:val="000000"/>
                <w:sz w:val="16"/>
                <w:szCs w:val="16"/>
              </w:rPr>
            </w:pPr>
            <w:r>
              <w:rPr>
                <w:rFonts w:cstheme="minorHAnsi"/>
                <w:color w:val="000000"/>
                <w:sz w:val="16"/>
                <w:szCs w:val="16"/>
              </w:rPr>
              <w:t>4.500</w:t>
            </w:r>
          </w:p>
        </w:tc>
        <w:tc>
          <w:tcPr>
            <w:tcW w:w="1041" w:type="dxa"/>
            <w:tcBorders>
              <w:bottom w:val="single" w:color="auto" w:sz="4" w:space="0"/>
              <w:right w:val="single" w:color="auto" w:sz="4" w:space="0"/>
            </w:tcBorders>
            <w:vAlign w:val="center"/>
          </w:tcPr>
          <w:p w14:paraId="34AD539E">
            <w:pPr>
              <w:spacing w:line="276" w:lineRule="auto"/>
              <w:jc w:val="center"/>
              <w:rPr>
                <w:rFonts w:cstheme="minorHAnsi"/>
                <w:color w:val="000000"/>
                <w:sz w:val="16"/>
                <w:szCs w:val="16"/>
              </w:rPr>
            </w:pPr>
          </w:p>
          <w:p w14:paraId="63EE3C2F">
            <w:pPr>
              <w:spacing w:line="276" w:lineRule="auto"/>
              <w:jc w:val="center"/>
              <w:rPr>
                <w:rFonts w:cstheme="minorHAnsi"/>
                <w:color w:val="000000"/>
                <w:sz w:val="16"/>
                <w:szCs w:val="16"/>
              </w:rPr>
            </w:pPr>
            <w:r>
              <w:rPr>
                <w:rFonts w:cstheme="minorHAnsi"/>
                <w:color w:val="000000"/>
                <w:sz w:val="16"/>
                <w:szCs w:val="16"/>
              </w:rPr>
              <w:t>40,00</w:t>
            </w:r>
          </w:p>
        </w:tc>
        <w:tc>
          <w:tcPr>
            <w:tcW w:w="1587" w:type="dxa"/>
            <w:gridSpan w:val="2"/>
            <w:tcBorders>
              <w:top w:val="single" w:color="auto" w:sz="4" w:space="0"/>
              <w:left w:val="single" w:color="auto" w:sz="4" w:space="0"/>
              <w:bottom w:val="single" w:color="auto" w:sz="4" w:space="0"/>
              <w:right w:val="single" w:color="auto" w:sz="4" w:space="0"/>
            </w:tcBorders>
          </w:tcPr>
          <w:p w14:paraId="6F80B33B">
            <w:pPr>
              <w:spacing w:line="276" w:lineRule="auto"/>
              <w:jc w:val="right"/>
              <w:rPr>
                <w:rFonts w:cstheme="minorHAnsi"/>
                <w:color w:val="000000" w:themeColor="text1"/>
                <w:sz w:val="16"/>
                <w:szCs w:val="16"/>
                <w14:textFill>
                  <w14:solidFill>
                    <w14:schemeClr w14:val="tx1"/>
                  </w14:solidFill>
                </w14:textFill>
              </w:rPr>
            </w:pPr>
          </w:p>
          <w:p w14:paraId="31351D70">
            <w:pPr>
              <w:spacing w:line="276" w:lineRule="auto"/>
              <w:jc w:val="right"/>
              <w:rPr>
                <w:rFonts w:cstheme="minorHAnsi"/>
                <w:color w:val="000000" w:themeColor="text1"/>
                <w:sz w:val="16"/>
                <w:szCs w:val="16"/>
                <w14:textFill>
                  <w14:solidFill>
                    <w14:schemeClr w14:val="tx1"/>
                  </w14:solidFill>
                </w14:textFill>
              </w:rPr>
            </w:pPr>
          </w:p>
          <w:p w14:paraId="1115FDD7">
            <w:pPr>
              <w:spacing w:line="276" w:lineRule="auto"/>
              <w:jc w:val="right"/>
              <w:rPr>
                <w:rFonts w:cstheme="minorHAnsi"/>
                <w:color w:val="000000" w:themeColor="text1"/>
                <w:sz w:val="16"/>
                <w:szCs w:val="16"/>
                <w14:textFill>
                  <w14:solidFill>
                    <w14:schemeClr w14:val="tx1"/>
                  </w14:solidFill>
                </w14:textFill>
              </w:rPr>
            </w:pPr>
          </w:p>
          <w:p w14:paraId="48B60701">
            <w:pPr>
              <w:spacing w:line="276" w:lineRule="auto"/>
              <w:jc w:val="right"/>
              <w:rPr>
                <w:rFonts w:cstheme="minorHAnsi"/>
                <w:color w:val="000000" w:themeColor="text1"/>
                <w:sz w:val="16"/>
                <w:szCs w:val="16"/>
                <w14:textFill>
                  <w14:solidFill>
                    <w14:schemeClr w14:val="tx1"/>
                  </w14:solidFill>
                </w14:textFill>
              </w:rPr>
            </w:pPr>
          </w:p>
          <w:p w14:paraId="2F155A53">
            <w:pPr>
              <w:spacing w:line="276" w:lineRule="auto"/>
              <w:jc w:val="right"/>
              <w:rPr>
                <w:rFonts w:cstheme="minorHAnsi"/>
                <w:color w:val="000000" w:themeColor="text1"/>
                <w:sz w:val="16"/>
                <w:szCs w:val="16"/>
                <w14:textFill>
                  <w14:solidFill>
                    <w14:schemeClr w14:val="tx1"/>
                  </w14:solidFill>
                </w14:textFill>
              </w:rPr>
            </w:pPr>
          </w:p>
          <w:p w14:paraId="667CE367">
            <w:pPr>
              <w:spacing w:line="276" w:lineRule="auto"/>
              <w:jc w:val="right"/>
              <w:rPr>
                <w:rFonts w:cstheme="minorHAnsi"/>
                <w:color w:val="000000" w:themeColor="text1"/>
                <w:sz w:val="16"/>
                <w:szCs w:val="16"/>
                <w14:textFill>
                  <w14:solidFill>
                    <w14:schemeClr w14:val="tx1"/>
                  </w14:solidFill>
                </w14:textFill>
              </w:rPr>
            </w:pPr>
          </w:p>
          <w:p w14:paraId="5319FAEE">
            <w:pPr>
              <w:spacing w:line="276" w:lineRule="auto"/>
              <w:jc w:val="right"/>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R$ 180.000,00</w:t>
            </w:r>
          </w:p>
        </w:tc>
      </w:tr>
      <w:tr w14:paraId="22EE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14" w:type="dxa"/>
          <w:trHeight w:val="841" w:hRule="atLeast"/>
          <w:jc w:val="center"/>
        </w:trPr>
        <w:tc>
          <w:tcPr>
            <w:tcW w:w="421" w:type="dxa"/>
            <w:tcBorders>
              <w:left w:val="single" w:color="auto" w:sz="4" w:space="0"/>
              <w:bottom w:val="single" w:color="auto" w:sz="4" w:space="0"/>
              <w:right w:val="single" w:color="auto" w:sz="4" w:space="0"/>
            </w:tcBorders>
            <w:vAlign w:val="center"/>
          </w:tcPr>
          <w:p w14:paraId="3FA46B66">
            <w:pPr>
              <w:spacing w:line="276" w:lineRule="auto"/>
              <w:jc w:val="center"/>
              <w:rPr>
                <w:rFonts w:cstheme="minorHAnsi"/>
                <w:color w:val="000000"/>
                <w:sz w:val="16"/>
                <w:szCs w:val="16"/>
              </w:rPr>
            </w:pPr>
            <w:r>
              <w:rPr>
                <w:rFonts w:cstheme="minorHAnsi"/>
                <w:color w:val="000000"/>
                <w:sz w:val="16"/>
                <w:szCs w:val="16"/>
              </w:rPr>
              <w:t>11</w:t>
            </w:r>
          </w:p>
        </w:tc>
        <w:tc>
          <w:tcPr>
            <w:tcW w:w="850" w:type="dxa"/>
            <w:tcBorders>
              <w:left w:val="single" w:color="auto" w:sz="4" w:space="0"/>
              <w:bottom w:val="single" w:color="auto" w:sz="4" w:space="0"/>
            </w:tcBorders>
            <w:vAlign w:val="center"/>
          </w:tcPr>
          <w:p w14:paraId="0DCF1650">
            <w:pPr>
              <w:spacing w:line="276" w:lineRule="auto"/>
              <w:jc w:val="center"/>
              <w:rPr>
                <w:rFonts w:cstheme="minorHAnsi"/>
                <w:color w:val="000000"/>
                <w:sz w:val="16"/>
                <w:szCs w:val="16"/>
              </w:rPr>
            </w:pPr>
            <w:r>
              <w:rPr>
                <w:rFonts w:cstheme="minorHAnsi"/>
                <w:color w:val="000000"/>
                <w:sz w:val="16"/>
                <w:szCs w:val="16"/>
              </w:rPr>
              <w:t>9124</w:t>
            </w:r>
          </w:p>
        </w:tc>
        <w:tc>
          <w:tcPr>
            <w:tcW w:w="851" w:type="dxa"/>
            <w:tcBorders>
              <w:bottom w:val="single" w:color="auto" w:sz="4" w:space="0"/>
            </w:tcBorders>
            <w:vAlign w:val="center"/>
          </w:tcPr>
          <w:p w14:paraId="10F8AB54">
            <w:pPr>
              <w:spacing w:line="276" w:lineRule="auto"/>
              <w:jc w:val="center"/>
              <w:rPr>
                <w:rFonts w:cstheme="minorHAnsi"/>
                <w:color w:val="000000"/>
                <w:sz w:val="16"/>
                <w:szCs w:val="16"/>
              </w:rPr>
            </w:pPr>
            <w:r>
              <w:rPr>
                <w:rFonts w:cstheme="minorHAnsi"/>
                <w:color w:val="000000"/>
                <w:sz w:val="16"/>
                <w:szCs w:val="16"/>
              </w:rPr>
              <w:t>487476</w:t>
            </w:r>
          </w:p>
        </w:tc>
        <w:tc>
          <w:tcPr>
            <w:tcW w:w="3019" w:type="dxa"/>
            <w:tcBorders>
              <w:bottom w:val="single" w:color="auto" w:sz="4" w:space="0"/>
            </w:tcBorders>
            <w:vAlign w:val="center"/>
          </w:tcPr>
          <w:p w14:paraId="1A662303">
            <w:pPr>
              <w:spacing w:line="276" w:lineRule="auto"/>
              <w:jc w:val="both"/>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FIO DE SUTURA AGULHADO, MATERIAL FIO: POLIPROPILENO AZUL, MODELO FIO: MONOFILAMENTAR, DIÂMETRO FIO: 7-0, COMPRIMENTO FIO: CERCA DE 60 CM, TIPO AGULHA: 2 AGULHAS 3/8 CÍRCULO NAS EXTREMIDADES, MODELO AGULHA: CILÍNDRICA, COMPRIMENTO AGULHA: CERCA DE 10 MM, ESTERILIDADE: ESTÉRIL, APRESENTAÇÃO: EMBALAGEM INDIVIDUAL.</w:t>
            </w:r>
          </w:p>
          <w:p w14:paraId="284E718A">
            <w:pPr>
              <w:spacing w:line="276" w:lineRule="auto"/>
              <w:jc w:val="both"/>
              <w:rPr>
                <w:rFonts w:cstheme="minorHAnsi"/>
                <w:color w:val="000000"/>
                <w:sz w:val="16"/>
                <w:szCs w:val="16"/>
              </w:rPr>
            </w:pPr>
            <w:r>
              <w:rPr>
                <w:rFonts w:cstheme="minorHAnsi"/>
                <w:color w:val="000000" w:themeColor="text1"/>
                <w:sz w:val="16"/>
                <w:szCs w:val="16"/>
                <w14:textFill>
                  <w14:solidFill>
                    <w14:schemeClr w14:val="tx1"/>
                  </w14:solidFill>
                </w14:textFill>
              </w:rPr>
              <w:t>CARACTERÍSTICAS ADICIONAIS</w:t>
            </w:r>
            <w:r>
              <w:rPr>
                <w:rFonts w:cstheme="minorHAnsi"/>
                <w:b/>
                <w:color w:val="000000" w:themeColor="text1"/>
                <w:sz w:val="16"/>
                <w:szCs w:val="16"/>
                <w14:textFill>
                  <w14:solidFill>
                    <w14:schemeClr w14:val="tx1"/>
                  </w14:solidFill>
                </w14:textFill>
              </w:rPr>
              <w:t xml:space="preserve">: </w:t>
            </w:r>
            <w:r>
              <w:rPr>
                <w:rFonts w:cstheme="minorHAnsi"/>
                <w:color w:val="000000" w:themeColor="text1"/>
                <w:sz w:val="16"/>
                <w:szCs w:val="16"/>
                <w14:textFill>
                  <w14:solidFill>
                    <w14:schemeClr w14:val="tx1"/>
                  </w14:solidFill>
                </w14:textFill>
              </w:rPr>
              <w:t>O CORPO DA AGULHA DEVERÁ SER  QUADRADO OU RETANGULAR, 0,93 MM PONTA CILINDRICA.</w:t>
            </w:r>
          </w:p>
        </w:tc>
        <w:tc>
          <w:tcPr>
            <w:tcW w:w="992" w:type="dxa"/>
            <w:tcBorders>
              <w:bottom w:val="single" w:color="auto" w:sz="4" w:space="0"/>
            </w:tcBorders>
            <w:noWrap/>
            <w:vAlign w:val="center"/>
          </w:tcPr>
          <w:p w14:paraId="6635F066">
            <w:pPr>
              <w:spacing w:line="276" w:lineRule="auto"/>
              <w:jc w:val="center"/>
              <w:rPr>
                <w:rFonts w:cstheme="minorHAnsi"/>
                <w:color w:val="000000"/>
                <w:sz w:val="16"/>
                <w:szCs w:val="16"/>
              </w:rPr>
            </w:pPr>
            <w:r>
              <w:rPr>
                <w:rFonts w:cstheme="minorHAnsi"/>
                <w:color w:val="000000"/>
                <w:sz w:val="16"/>
                <w:szCs w:val="16"/>
              </w:rPr>
              <w:t>UND</w:t>
            </w:r>
          </w:p>
        </w:tc>
        <w:tc>
          <w:tcPr>
            <w:tcW w:w="851" w:type="dxa"/>
            <w:tcBorders>
              <w:bottom w:val="single" w:color="auto" w:sz="4" w:space="0"/>
            </w:tcBorders>
            <w:vAlign w:val="center"/>
          </w:tcPr>
          <w:p w14:paraId="5BA83238">
            <w:pPr>
              <w:spacing w:line="276" w:lineRule="auto"/>
              <w:rPr>
                <w:rFonts w:cstheme="minorHAnsi"/>
                <w:color w:val="000000"/>
                <w:sz w:val="16"/>
                <w:szCs w:val="16"/>
              </w:rPr>
            </w:pPr>
            <w:r>
              <w:rPr>
                <w:rFonts w:cstheme="minorHAnsi"/>
                <w:color w:val="000000"/>
                <w:sz w:val="16"/>
                <w:szCs w:val="16"/>
              </w:rPr>
              <w:t xml:space="preserve"> 5.500</w:t>
            </w:r>
          </w:p>
        </w:tc>
        <w:tc>
          <w:tcPr>
            <w:tcW w:w="1041" w:type="dxa"/>
            <w:tcBorders>
              <w:bottom w:val="single" w:color="auto" w:sz="4" w:space="0"/>
              <w:right w:val="single" w:color="auto" w:sz="4" w:space="0"/>
            </w:tcBorders>
            <w:vAlign w:val="center"/>
          </w:tcPr>
          <w:p w14:paraId="4E47EFB3">
            <w:pPr>
              <w:spacing w:line="276" w:lineRule="auto"/>
              <w:rPr>
                <w:rFonts w:cstheme="minorHAnsi"/>
                <w:color w:val="000000"/>
                <w:sz w:val="16"/>
                <w:szCs w:val="16"/>
              </w:rPr>
            </w:pPr>
            <w:r>
              <w:rPr>
                <w:rFonts w:cstheme="minorHAnsi"/>
                <w:color w:val="000000"/>
                <w:sz w:val="16"/>
                <w:szCs w:val="16"/>
              </w:rPr>
              <w:t>99,00</w:t>
            </w:r>
          </w:p>
        </w:tc>
        <w:tc>
          <w:tcPr>
            <w:tcW w:w="1587" w:type="dxa"/>
            <w:gridSpan w:val="2"/>
            <w:tcBorders>
              <w:top w:val="single" w:color="auto" w:sz="4" w:space="0"/>
              <w:left w:val="single" w:color="auto" w:sz="4" w:space="0"/>
              <w:bottom w:val="single" w:color="auto" w:sz="4" w:space="0"/>
              <w:right w:val="single" w:color="auto" w:sz="4" w:space="0"/>
            </w:tcBorders>
          </w:tcPr>
          <w:p w14:paraId="16D8F869">
            <w:pPr>
              <w:spacing w:line="276" w:lineRule="auto"/>
              <w:jc w:val="right"/>
              <w:rPr>
                <w:rFonts w:cstheme="minorHAnsi"/>
                <w:color w:val="000000" w:themeColor="text1"/>
                <w:sz w:val="16"/>
                <w:szCs w:val="16"/>
                <w14:textFill>
                  <w14:solidFill>
                    <w14:schemeClr w14:val="tx1"/>
                  </w14:solidFill>
                </w14:textFill>
              </w:rPr>
            </w:pPr>
          </w:p>
          <w:p w14:paraId="4D4FCC9B">
            <w:pPr>
              <w:spacing w:line="276" w:lineRule="auto"/>
              <w:jc w:val="right"/>
              <w:rPr>
                <w:rFonts w:cstheme="minorHAnsi"/>
                <w:color w:val="000000" w:themeColor="text1"/>
                <w:sz w:val="16"/>
                <w:szCs w:val="16"/>
                <w14:textFill>
                  <w14:solidFill>
                    <w14:schemeClr w14:val="tx1"/>
                  </w14:solidFill>
                </w14:textFill>
              </w:rPr>
            </w:pPr>
          </w:p>
          <w:p w14:paraId="60374084">
            <w:pPr>
              <w:spacing w:line="276" w:lineRule="auto"/>
              <w:jc w:val="right"/>
              <w:rPr>
                <w:rFonts w:cstheme="minorHAnsi"/>
                <w:color w:val="000000" w:themeColor="text1"/>
                <w:sz w:val="16"/>
                <w:szCs w:val="16"/>
                <w14:textFill>
                  <w14:solidFill>
                    <w14:schemeClr w14:val="tx1"/>
                  </w14:solidFill>
                </w14:textFill>
              </w:rPr>
            </w:pPr>
          </w:p>
          <w:p w14:paraId="5FE09CD2">
            <w:pPr>
              <w:spacing w:line="276" w:lineRule="auto"/>
              <w:jc w:val="right"/>
              <w:rPr>
                <w:rFonts w:cstheme="minorHAnsi"/>
                <w:color w:val="000000" w:themeColor="text1"/>
                <w:sz w:val="16"/>
                <w:szCs w:val="16"/>
                <w14:textFill>
                  <w14:solidFill>
                    <w14:schemeClr w14:val="tx1"/>
                  </w14:solidFill>
                </w14:textFill>
              </w:rPr>
            </w:pPr>
          </w:p>
          <w:p w14:paraId="2E56448D">
            <w:pPr>
              <w:spacing w:line="276" w:lineRule="auto"/>
              <w:jc w:val="right"/>
              <w:rPr>
                <w:rFonts w:cstheme="minorHAnsi"/>
                <w:color w:val="000000" w:themeColor="text1"/>
                <w:sz w:val="16"/>
                <w:szCs w:val="16"/>
                <w14:textFill>
                  <w14:solidFill>
                    <w14:schemeClr w14:val="tx1"/>
                  </w14:solidFill>
                </w14:textFill>
              </w:rPr>
            </w:pPr>
            <w:r>
              <w:rPr>
                <w:rFonts w:cstheme="minorHAnsi"/>
                <w:color w:val="000000" w:themeColor="text1"/>
                <w:sz w:val="16"/>
                <w:szCs w:val="16"/>
                <w14:textFill>
                  <w14:solidFill>
                    <w14:schemeClr w14:val="tx1"/>
                  </w14:solidFill>
                </w14:textFill>
              </w:rPr>
              <w:t>R$544.500,00</w:t>
            </w:r>
          </w:p>
        </w:tc>
      </w:tr>
      <w:tr w14:paraId="6B4F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76" w:hRule="atLeast"/>
          <w:jc w:val="center"/>
        </w:trPr>
        <w:tc>
          <w:tcPr>
            <w:tcW w:w="8054" w:type="dxa"/>
            <w:gridSpan w:val="8"/>
            <w:tcBorders>
              <w:left w:val="single" w:color="auto" w:sz="4" w:space="0"/>
              <w:right w:val="single" w:color="auto" w:sz="4" w:space="0"/>
            </w:tcBorders>
            <w:shd w:val="clear" w:color="auto" w:fill="E7E6E6" w:themeFill="background2"/>
            <w:vAlign w:val="center"/>
          </w:tcPr>
          <w:p w14:paraId="0507A833">
            <w:pPr>
              <w:jc w:val="center"/>
              <w:rPr>
                <w:rFonts w:cstheme="minorHAnsi"/>
                <w:b/>
                <w:bCs/>
                <w:sz w:val="16"/>
                <w:szCs w:val="16"/>
              </w:rPr>
            </w:pPr>
          </w:p>
        </w:tc>
        <w:tc>
          <w:tcPr>
            <w:tcW w:w="1572" w:type="dxa"/>
            <w:gridSpan w:val="2"/>
            <w:tcBorders>
              <w:top w:val="single" w:color="auto" w:sz="4" w:space="0"/>
              <w:left w:val="single" w:color="auto" w:sz="4" w:space="0"/>
              <w:bottom w:val="single" w:color="auto" w:sz="4" w:space="0"/>
              <w:right w:val="single" w:color="auto" w:sz="4" w:space="0"/>
            </w:tcBorders>
            <w:shd w:val="clear" w:color="auto" w:fill="E7E6E6" w:themeFill="background2"/>
          </w:tcPr>
          <w:p w14:paraId="62A4251F">
            <w:pPr>
              <w:jc w:val="right"/>
              <w:rPr>
                <w:rFonts w:cstheme="minorHAnsi"/>
                <w:b/>
                <w:color w:val="000000" w:themeColor="text1"/>
                <w:sz w:val="16"/>
                <w:szCs w:val="16"/>
                <w14:textFill>
                  <w14:solidFill>
                    <w14:schemeClr w14:val="tx1"/>
                  </w14:solidFill>
                </w14:textFill>
              </w:rPr>
            </w:pPr>
          </w:p>
          <w:p w14:paraId="3EE1DC0D">
            <w:pPr>
              <w:jc w:val="right"/>
              <w:rPr>
                <w:rFonts w:cstheme="minorHAnsi"/>
                <w:b/>
                <w:color w:val="000000" w:themeColor="text1"/>
                <w:sz w:val="16"/>
                <w:szCs w:val="16"/>
                <w14:textFill>
                  <w14:solidFill>
                    <w14:schemeClr w14:val="tx1"/>
                  </w14:solidFill>
                </w14:textFill>
              </w:rPr>
            </w:pPr>
            <w:r>
              <w:rPr>
                <w:rFonts w:cstheme="minorHAnsi"/>
                <w:b/>
                <w:color w:val="000000" w:themeColor="text1"/>
                <w:sz w:val="16"/>
                <w:szCs w:val="16"/>
                <w14:textFill>
                  <w14:solidFill>
                    <w14:schemeClr w14:val="tx1"/>
                  </w14:solidFill>
                </w14:textFill>
              </w:rPr>
              <w:fldChar w:fldCharType="begin"/>
            </w:r>
            <w:r>
              <w:rPr>
                <w:rFonts w:cstheme="minorHAnsi"/>
                <w:b/>
                <w:color w:val="000000" w:themeColor="text1"/>
                <w:sz w:val="16"/>
                <w:szCs w:val="16"/>
                <w14:textFill>
                  <w14:solidFill>
                    <w14:schemeClr w14:val="tx1"/>
                  </w14:solidFill>
                </w14:textFill>
              </w:rPr>
              <w:instrText xml:space="preserve"> =SUM(ABOVE) </w:instrText>
            </w:r>
            <w:r>
              <w:rPr>
                <w:rFonts w:cstheme="minorHAnsi"/>
                <w:b/>
                <w:color w:val="000000" w:themeColor="text1"/>
                <w:sz w:val="16"/>
                <w:szCs w:val="16"/>
                <w14:textFill>
                  <w14:solidFill>
                    <w14:schemeClr w14:val="tx1"/>
                  </w14:solidFill>
                </w14:textFill>
              </w:rPr>
              <w:fldChar w:fldCharType="separate"/>
            </w:r>
            <w:r>
              <w:rPr>
                <w:rFonts w:cstheme="minorHAnsi"/>
                <w:b/>
                <w:color w:val="000000" w:themeColor="text1"/>
                <w:sz w:val="16"/>
                <w:szCs w:val="16"/>
                <w14:textFill>
                  <w14:solidFill>
                    <w14:schemeClr w14:val="tx1"/>
                  </w14:solidFill>
                </w14:textFill>
              </w:rPr>
              <w:t>R$ 1.333.632,00</w:t>
            </w:r>
            <w:r>
              <w:rPr>
                <w:rFonts w:cstheme="minorHAnsi"/>
                <w:b/>
                <w:color w:val="000000" w:themeColor="text1"/>
                <w:sz w:val="16"/>
                <w:szCs w:val="16"/>
                <w14:textFill>
                  <w14:solidFill>
                    <w14:schemeClr w14:val="tx1"/>
                  </w14:solidFill>
                </w14:textFill>
              </w:rPr>
              <w:fldChar w:fldCharType="end"/>
            </w:r>
          </w:p>
        </w:tc>
      </w:tr>
    </w:tbl>
    <w:p w14:paraId="4AB085CC">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sz w:val="22"/>
          <w:szCs w:val="22"/>
        </w:rPr>
        <w:t>DAS ESPECIFICAÇÕES PARA AQUISIÇÃO DOSITENS DE 01 AOS 11</w:t>
      </w:r>
    </w:p>
    <w:p w14:paraId="6D8ECAB5">
      <w:pPr>
        <w:pStyle w:val="65"/>
        <w:numPr>
          <w:ilvl w:val="1"/>
          <w:numId w:val="11"/>
        </w:numPr>
        <w:suppressAutoHyphens/>
        <w:spacing w:before="120" w:after="120"/>
        <w:ind w:left="0" w:firstLine="0"/>
        <w:contextualSpacing w:val="0"/>
        <w:jc w:val="both"/>
        <w:rPr>
          <w:rFonts w:asciiTheme="minorHAnsi" w:hAnsiTheme="minorHAnsi" w:cstheme="minorHAnsi"/>
          <w:b/>
          <w:bCs/>
          <w:sz w:val="22"/>
          <w:szCs w:val="22"/>
        </w:rPr>
      </w:pPr>
      <w:r>
        <w:rPr>
          <w:rFonts w:eastAsia="Times New Roman" w:asciiTheme="minorHAnsi" w:hAnsiTheme="minorHAnsi" w:cstheme="minorHAnsi"/>
          <w:sz w:val="22"/>
          <w:szCs w:val="22"/>
        </w:rPr>
        <w:t xml:space="preserve">Os fios ofertados deverão apresentar </w:t>
      </w:r>
      <w:r>
        <w:rPr>
          <w:rFonts w:eastAsia="Times New Roman" w:asciiTheme="minorHAnsi" w:hAnsiTheme="minorHAnsi" w:cstheme="minorHAnsi"/>
          <w:b/>
          <w:sz w:val="22"/>
          <w:szCs w:val="22"/>
        </w:rPr>
        <w:t>qualidade equivalente ou similar à marca Johnson &amp; Johnson</w:t>
      </w:r>
      <w:r>
        <w:rPr>
          <w:rFonts w:eastAsia="Times New Roman" w:asciiTheme="minorHAnsi" w:hAnsiTheme="minorHAnsi" w:cstheme="minorHAnsi"/>
          <w:sz w:val="22"/>
          <w:szCs w:val="22"/>
        </w:rPr>
        <w:t xml:space="preserve">, em observância ao entendimento consolidado no </w:t>
      </w:r>
      <w:r>
        <w:rPr>
          <w:rFonts w:eastAsia="Times New Roman" w:asciiTheme="minorHAnsi" w:hAnsiTheme="minorHAnsi" w:cstheme="minorHAnsi"/>
          <w:bCs/>
          <w:sz w:val="22"/>
          <w:szCs w:val="22"/>
        </w:rPr>
        <w:t>Acórdão nº 2.300/2007 do</w:t>
      </w:r>
      <w:r>
        <w:rPr>
          <w:rFonts w:eastAsia="Times New Roman" w:asciiTheme="minorHAnsi" w:hAnsiTheme="minorHAnsi" w:cstheme="minorHAnsi"/>
          <w:sz w:val="22"/>
          <w:szCs w:val="22"/>
        </w:rPr>
        <w:t xml:space="preserve"> Tribunal de Contas da União, que admite a indicação de marca como referência de qualidade, desde que acompanhada da expressão “ou equivalente”. A especificação deverá estar em conformidade com a Norma Associação Brasileira de Normas Técnicas – NBR 13904.</w:t>
      </w:r>
    </w:p>
    <w:p w14:paraId="130BF01E">
      <w:pPr>
        <w:pStyle w:val="65"/>
        <w:numPr>
          <w:ilvl w:val="1"/>
          <w:numId w:val="11"/>
        </w:numPr>
        <w:spacing w:before="120" w:after="120"/>
        <w:ind w:left="0" w:firstLine="0"/>
        <w:contextualSpacing w:val="0"/>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O campo “resumo” e as “características adicionais” relativas à variação no comprimento do fio e da agulha foram inseridos com o objetivo de ampliar a competitividade e assegurar maior participação de licitantes, considerando a diversidade de padronizações existentes no mercado. A medida observa os princípios da isonomia e da competitividade previstos na Instrução Normativa SLTI/MPOG nº 01/2010, que dispõe sobre critérios de sustentabilidade ambiental nas aquisições públicas.</w:t>
      </w:r>
    </w:p>
    <w:p w14:paraId="4A607274">
      <w:pPr>
        <w:pStyle w:val="65"/>
        <w:numPr>
          <w:ilvl w:val="1"/>
          <w:numId w:val="11"/>
        </w:numPr>
        <w:spacing w:before="120" w:after="120"/>
        <w:ind w:left="0" w:firstLine="0"/>
        <w:contextualSpacing w:val="0"/>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Para fins de habilitação, o licitante deverá apresentar Certificado de Análise emitido pelo Instituto Nacional de Metrologia, Qualidade e Tecnologia (INMETRO) ou por organismo oficialmente credenciado, comprovando conformidade com a Norma Associação Brasileira de Normas Técnicas – NBR 13904, de 30 de junho de 2003.</w:t>
      </w:r>
    </w:p>
    <w:p w14:paraId="2C026ADD">
      <w:pPr>
        <w:spacing w:before="120" w:after="120" w:line="240" w:lineRule="auto"/>
        <w:jc w:val="both"/>
        <w:rPr>
          <w:rFonts w:eastAsia="Times New Roman" w:cstheme="minorHAnsi"/>
          <w:b/>
          <w:bCs/>
          <w:lang w:eastAsia="pt-BR"/>
        </w:rPr>
      </w:pPr>
      <w:r>
        <w:rPr>
          <w:rFonts w:eastAsia="Times New Roman" w:cstheme="minorHAnsi"/>
          <w:b/>
          <w:bCs/>
          <w:lang w:eastAsia="pt-BR"/>
        </w:rPr>
        <w:t>15.</w:t>
      </w:r>
      <w:r>
        <w:rPr>
          <w:rFonts w:cstheme="minorHAnsi"/>
          <w:b/>
          <w:bCs/>
        </w:rPr>
        <w:t>4. Comprovação de Regularidade Sanitária e Documental:</w:t>
      </w:r>
    </w:p>
    <w:p w14:paraId="3B311DB7">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Deverá ser apresentada comprovação do registro do produto, da notificação ou da dispensa de registro junto ao Agência Nacional de Vigilância Sanitária (ANVISA), vinculada ao Ministério da Saúde, constando obrigatoriamente a validade (dia/mês/ano), mediante:</w:t>
      </w:r>
    </w:p>
    <w:p w14:paraId="3BD30580">
      <w:pPr>
        <w:pStyle w:val="65"/>
        <w:numPr>
          <w:ilvl w:val="3"/>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Cópia autenticada do registro publicado no Diário Oficial da União (D.O.U.), com destaque do número correspondente a cada item cotado, ou cópia emitida eletronicamente por meio do sítio oficial da ANVISA.</w:t>
      </w:r>
    </w:p>
    <w:p w14:paraId="513CAF5C">
      <w:pPr>
        <w:pStyle w:val="65"/>
        <w:numPr>
          <w:ilvl w:val="3"/>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Caso o registro esteja vencido, deverá ser apresentada cópia autenticada e legível do protocolo de solicitação de revalidação, acompanhada da cópia do registro expirado, desde que a revalidação tenha sido requerida no primeiro semestre do último ano do quinquênio de validade, nos termos do § 6º do art. 12 da Lei nº 6.360/1976. A ausência do registro válido ou do respectivo protocolo implicará na desclassificação do item.</w:t>
      </w:r>
    </w:p>
    <w:p w14:paraId="1EDBD0C2">
      <w:pPr>
        <w:pStyle w:val="65"/>
        <w:numPr>
          <w:ilvl w:val="3"/>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aplicável, deverá ser apresentada cópia da Declaração de Notificação ou do Certificado de Dispensa de Registro emitido pela ANVISA.</w:t>
      </w:r>
    </w:p>
    <w:p w14:paraId="19D91633">
      <w:pPr>
        <w:pStyle w:val="65"/>
        <w:numPr>
          <w:ilvl w:val="3"/>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Caberá ao proponente comprovar, mediante documentação técnica pertinente, que o produto objeto da licitação não está sujeito ao regime de Vigilância Sanitária.</w:t>
      </w:r>
    </w:p>
    <w:p w14:paraId="2776AD8E">
      <w:pPr>
        <w:pStyle w:val="65"/>
        <w:numPr>
          <w:ilvl w:val="3"/>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Todos os comprovantes de registro, notificação ou dispensa deverão estar identificados com o número do item correspondente, em ordem crescente, para fins de facilitar a análise e julgamento.</w:t>
      </w:r>
    </w:p>
    <w:p w14:paraId="28F3CF61">
      <w:pPr>
        <w:pStyle w:val="65"/>
        <w:numPr>
          <w:ilvl w:val="3"/>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Deverá ser apresentado Certificado de Análise (Laudo) emitido por laboratório credenciado junto ao Instituto Nacional de Metrologia, Qualidade e Tecnologia (INMETRO), comprovando atendimento às exigências da Norma Associação Brasileira de Normas Técnicas – NBR 13904:2003 – Fios para Sutura Cirúrgica, demonstrando que a análise foi realizada para cada matéria-prima utilizada na fabricação dos fios.</w:t>
      </w:r>
    </w:p>
    <w:p w14:paraId="2A512103">
      <w:pPr>
        <w:spacing w:before="120" w:after="120" w:line="240" w:lineRule="auto"/>
        <w:jc w:val="both"/>
        <w:rPr>
          <w:rFonts w:eastAsia="Times New Roman" w:cstheme="minorHAnsi"/>
          <w:lang w:eastAsia="pt-BR"/>
        </w:rPr>
      </w:pPr>
      <w:r>
        <w:rPr>
          <w:rFonts w:eastAsia="Times New Roman" w:cstheme="minorHAnsi"/>
          <w:b/>
          <w:bCs/>
          <w:lang w:eastAsia="pt-BR"/>
        </w:rPr>
        <w:t>15.5. Conformidade Técnica com Normas ABNT – Fios de Sutura</w:t>
      </w:r>
    </w:p>
    <w:p w14:paraId="57C8F5F6">
      <w:pPr>
        <w:spacing w:before="120" w:after="120" w:line="240" w:lineRule="auto"/>
        <w:jc w:val="both"/>
        <w:rPr>
          <w:rFonts w:eastAsia="Times New Roman" w:cstheme="minorHAnsi"/>
          <w:lang w:eastAsia="pt-BR"/>
        </w:rPr>
      </w:pPr>
      <w:r>
        <w:rPr>
          <w:rFonts w:eastAsia="Times New Roman" w:cstheme="minorHAnsi"/>
          <w:bCs/>
          <w:lang w:eastAsia="pt-BR"/>
        </w:rPr>
        <w:t>15.5.1.</w:t>
      </w:r>
      <w:r>
        <w:rPr>
          <w:rFonts w:eastAsia="Times New Roman" w:cstheme="minorHAnsi"/>
          <w:lang w:eastAsia="pt-BR"/>
        </w:rPr>
        <w:t xml:space="preserve"> Os produtos ofertados deverão estar em conformidade com as normas vigentes da Associação Brasileira de Normas Técnicas (ABNT), especialmente a NBR 13904:2003, aplicável a fios para sutura cirúrgica.</w:t>
      </w:r>
    </w:p>
    <w:p w14:paraId="0DA51A1D">
      <w:pPr>
        <w:spacing w:before="120" w:after="120" w:line="240" w:lineRule="auto"/>
        <w:jc w:val="both"/>
        <w:rPr>
          <w:rFonts w:eastAsia="Times New Roman" w:cstheme="minorHAnsi"/>
          <w:lang w:eastAsia="pt-BR"/>
        </w:rPr>
      </w:pPr>
      <w:r>
        <w:rPr>
          <w:rFonts w:eastAsia="Times New Roman" w:cstheme="minorHAnsi"/>
          <w:bCs/>
          <w:lang w:eastAsia="pt-BR"/>
        </w:rPr>
        <w:t>15.5.2.</w:t>
      </w:r>
      <w:r>
        <w:rPr>
          <w:rFonts w:eastAsia="Times New Roman" w:cstheme="minorHAnsi"/>
          <w:lang w:eastAsia="pt-BR"/>
        </w:rPr>
        <w:t xml:space="preserve"> A embalagem secundária deverá conter, no mínimo: nome do produto, composição, diâmetro e comprimento do fio, indicação de presença de agulha, tipo, círculo e comprimento da agulha, nome do fabricante, datas de fabricação e validade, número do lote, número do registro no Ministério da Saúde, desenho compatível do tipo de agulha, identificação do farmacêutico responsável, condições de armazenamento e método de esterilização, devendo apresentar sistema de abertura fácil e segura.</w:t>
      </w:r>
    </w:p>
    <w:p w14:paraId="58AA9C6A">
      <w:pPr>
        <w:spacing w:before="120" w:after="120" w:line="240" w:lineRule="auto"/>
        <w:jc w:val="both"/>
        <w:rPr>
          <w:rFonts w:eastAsia="Times New Roman" w:cstheme="minorHAnsi"/>
          <w:lang w:eastAsia="pt-BR"/>
        </w:rPr>
      </w:pPr>
      <w:r>
        <w:rPr>
          <w:rFonts w:eastAsia="Times New Roman" w:cstheme="minorHAnsi"/>
          <w:bCs/>
          <w:lang w:eastAsia="pt-BR"/>
        </w:rPr>
        <w:t>15.5.3.</w:t>
      </w:r>
      <w:r>
        <w:rPr>
          <w:rFonts w:eastAsia="Times New Roman" w:cstheme="minorHAnsi"/>
          <w:lang w:eastAsia="pt-BR"/>
        </w:rPr>
        <w:t xml:space="preserve"> A embalagem primária deverá ser confeccionada em papel grau cirúrgico e filme plástico ou, quando aplicável, em papel alumínio, contendo número de lote, data de fabricação, validade, selagem íntegra que permita abertura asséptica sem delaminação ou rasgos e possibilite a visualização do envelope interno.</w:t>
      </w:r>
    </w:p>
    <w:p w14:paraId="0F7D87F8">
      <w:pPr>
        <w:spacing w:before="120" w:after="120" w:line="240" w:lineRule="auto"/>
        <w:jc w:val="both"/>
        <w:rPr>
          <w:rFonts w:eastAsia="Times New Roman" w:cstheme="minorHAnsi"/>
          <w:lang w:eastAsia="pt-BR"/>
        </w:rPr>
      </w:pPr>
      <w:r>
        <w:rPr>
          <w:rFonts w:eastAsia="Times New Roman" w:cstheme="minorHAnsi"/>
          <w:bCs/>
          <w:lang w:eastAsia="pt-BR"/>
        </w:rPr>
        <w:t>15.5.4.</w:t>
      </w:r>
      <w:r>
        <w:rPr>
          <w:rFonts w:eastAsia="Times New Roman" w:cstheme="minorHAnsi"/>
          <w:lang w:eastAsia="pt-BR"/>
        </w:rPr>
        <w:t xml:space="preserve"> A embalagem primária deverá conter desenho do tipo de agulha compatível com a agulha real, tipo e diâmetro do fio, comprimento do fio, número de fios por envelope, tipo, círculo e comprimento da agulha, além das datas de fabricação e validade. Deverá permitir fácil acesso do porta-agulha e adequada liberação do fio, sem comprometimento da integridade do envelope.</w:t>
      </w:r>
    </w:p>
    <w:p w14:paraId="621C0645">
      <w:pPr>
        <w:spacing w:before="120" w:after="120" w:line="240" w:lineRule="auto"/>
        <w:jc w:val="both"/>
        <w:rPr>
          <w:rFonts w:eastAsia="Times New Roman" w:cstheme="minorHAnsi"/>
          <w:lang w:eastAsia="pt-BR"/>
        </w:rPr>
      </w:pPr>
      <w:r>
        <w:rPr>
          <w:rFonts w:eastAsia="Times New Roman" w:cstheme="minorHAnsi"/>
          <w:bCs/>
          <w:lang w:eastAsia="pt-BR"/>
        </w:rPr>
        <w:t>15.5.5.</w:t>
      </w:r>
      <w:r>
        <w:rPr>
          <w:rFonts w:eastAsia="Times New Roman" w:cstheme="minorHAnsi"/>
          <w:lang w:eastAsia="pt-BR"/>
        </w:rPr>
        <w:t xml:space="preserve"> Os fios deverão apresentar resistência compatível com sua especialidade cirúrgica, adequada resistência tênsil à tração de ruptura e manutenção da aproximação tecidual até, no mínimo, a fase proliferativa da cicatrização.</w:t>
      </w:r>
    </w:p>
    <w:p w14:paraId="2A4BFC83">
      <w:pPr>
        <w:spacing w:before="120" w:after="120" w:line="240" w:lineRule="auto"/>
        <w:jc w:val="both"/>
        <w:rPr>
          <w:rFonts w:eastAsia="Times New Roman" w:cstheme="minorHAnsi"/>
          <w:lang w:eastAsia="pt-BR"/>
        </w:rPr>
      </w:pPr>
      <w:r>
        <w:rPr>
          <w:rFonts w:eastAsia="Times New Roman" w:cstheme="minorHAnsi"/>
          <w:bCs/>
          <w:lang w:eastAsia="pt-BR"/>
        </w:rPr>
        <w:t>15.5.6.</w:t>
      </w:r>
      <w:r>
        <w:rPr>
          <w:rFonts w:eastAsia="Times New Roman" w:cstheme="minorHAnsi"/>
          <w:lang w:eastAsia="pt-BR"/>
        </w:rPr>
        <w:t xml:space="preserve"> Deverão apresentar boa fixação e deslizamento do nó cirúrgico, assegurando estabilidade sem escorregamento, de modo a não comprometer a técnica operatória.</w:t>
      </w:r>
    </w:p>
    <w:p w14:paraId="58B4411F">
      <w:pPr>
        <w:spacing w:before="120" w:after="120" w:line="240" w:lineRule="auto"/>
        <w:jc w:val="both"/>
        <w:rPr>
          <w:rFonts w:eastAsia="Times New Roman" w:cstheme="minorHAnsi"/>
          <w:lang w:eastAsia="pt-BR"/>
        </w:rPr>
      </w:pPr>
      <w:r>
        <w:rPr>
          <w:rFonts w:eastAsia="Times New Roman" w:cstheme="minorHAnsi"/>
          <w:bCs/>
          <w:lang w:eastAsia="pt-BR"/>
        </w:rPr>
        <w:t>15.5.7.</w:t>
      </w:r>
      <w:r>
        <w:rPr>
          <w:rFonts w:eastAsia="Times New Roman" w:cstheme="minorHAnsi"/>
          <w:lang w:eastAsia="pt-BR"/>
        </w:rPr>
        <w:t xml:space="preserve"> A coloração deverá ser compatível com a especificação do edital, garantindo adequada visualização no campo cirúrgico.</w:t>
      </w:r>
    </w:p>
    <w:p w14:paraId="2285F65A">
      <w:pPr>
        <w:spacing w:before="120" w:after="120" w:line="240" w:lineRule="auto"/>
        <w:jc w:val="both"/>
        <w:rPr>
          <w:rFonts w:eastAsia="Times New Roman" w:cstheme="minorHAnsi"/>
          <w:lang w:eastAsia="pt-BR"/>
        </w:rPr>
      </w:pPr>
      <w:r>
        <w:rPr>
          <w:rFonts w:eastAsia="Times New Roman" w:cstheme="minorHAnsi"/>
          <w:bCs/>
          <w:lang w:eastAsia="pt-BR"/>
        </w:rPr>
        <w:t>15.5.8.</w:t>
      </w:r>
      <w:r>
        <w:rPr>
          <w:rFonts w:eastAsia="Times New Roman" w:cstheme="minorHAnsi"/>
          <w:lang w:eastAsia="pt-BR"/>
        </w:rPr>
        <w:t xml:space="preserve"> Não poderão apresentar efeito memória que prejudique o manuseio ou favoreça emaranhamento.</w:t>
      </w:r>
    </w:p>
    <w:p w14:paraId="1A1432B7">
      <w:pPr>
        <w:spacing w:before="120" w:after="120" w:line="240" w:lineRule="auto"/>
        <w:jc w:val="both"/>
        <w:rPr>
          <w:rFonts w:eastAsia="Times New Roman" w:cstheme="minorHAnsi"/>
          <w:lang w:eastAsia="pt-BR"/>
        </w:rPr>
      </w:pPr>
      <w:r>
        <w:rPr>
          <w:rFonts w:eastAsia="Times New Roman" w:cstheme="minorHAnsi"/>
          <w:bCs/>
          <w:lang w:eastAsia="pt-BR"/>
        </w:rPr>
        <w:t>15.5.9.</w:t>
      </w:r>
      <w:r>
        <w:rPr>
          <w:rFonts w:eastAsia="Times New Roman" w:cstheme="minorHAnsi"/>
          <w:lang w:eastAsia="pt-BR"/>
        </w:rPr>
        <w:t xml:space="preserve"> A agulha deverá possuir encastoamento com resistência máxima e compatibilidade entre o diâmetro do fio e da agulha.</w:t>
      </w:r>
    </w:p>
    <w:p w14:paraId="0739606E">
      <w:pPr>
        <w:spacing w:before="120" w:after="120" w:line="240" w:lineRule="auto"/>
        <w:jc w:val="both"/>
        <w:rPr>
          <w:rFonts w:eastAsia="Times New Roman" w:cstheme="minorHAnsi"/>
          <w:lang w:eastAsia="pt-BR"/>
        </w:rPr>
      </w:pPr>
      <w:r>
        <w:rPr>
          <w:rFonts w:eastAsia="Times New Roman" w:cstheme="minorHAnsi"/>
          <w:bCs/>
          <w:lang w:eastAsia="pt-BR"/>
        </w:rPr>
        <w:t>15.5.10.</w:t>
      </w:r>
      <w:r>
        <w:rPr>
          <w:rFonts w:eastAsia="Times New Roman" w:cstheme="minorHAnsi"/>
          <w:lang w:eastAsia="pt-BR"/>
        </w:rPr>
        <w:t xml:space="preserve"> A agulha traumática deverá manter o poder de corte até o término da sutura.</w:t>
      </w:r>
    </w:p>
    <w:p w14:paraId="0F7BD12F">
      <w:pPr>
        <w:spacing w:before="120" w:after="120" w:line="240" w:lineRule="auto"/>
        <w:jc w:val="both"/>
        <w:rPr>
          <w:rFonts w:eastAsia="Times New Roman" w:cstheme="minorHAnsi"/>
          <w:lang w:eastAsia="pt-BR"/>
        </w:rPr>
      </w:pPr>
      <w:r>
        <w:rPr>
          <w:rFonts w:eastAsia="Times New Roman" w:cstheme="minorHAnsi"/>
          <w:bCs/>
          <w:lang w:eastAsia="pt-BR"/>
        </w:rPr>
        <w:t>15.5.11.</w:t>
      </w:r>
      <w:r>
        <w:rPr>
          <w:rFonts w:eastAsia="Times New Roman" w:cstheme="minorHAnsi"/>
          <w:lang w:eastAsia="pt-BR"/>
        </w:rPr>
        <w:t xml:space="preserve"> A agulha atraumática deverá preservar a integridade da ponta até o final do uso.</w:t>
      </w:r>
    </w:p>
    <w:p w14:paraId="3346F78D">
      <w:pPr>
        <w:spacing w:before="120" w:after="120" w:line="240" w:lineRule="auto"/>
        <w:jc w:val="both"/>
        <w:rPr>
          <w:rFonts w:eastAsia="Times New Roman" w:cstheme="minorHAnsi"/>
          <w:lang w:eastAsia="pt-BR"/>
        </w:rPr>
      </w:pPr>
      <w:r>
        <w:rPr>
          <w:rFonts w:eastAsia="Times New Roman" w:cstheme="minorHAnsi"/>
          <w:bCs/>
          <w:lang w:eastAsia="pt-BR"/>
        </w:rPr>
        <w:t>15.5.12.</w:t>
      </w:r>
      <w:r>
        <w:rPr>
          <w:rFonts w:eastAsia="Times New Roman" w:cstheme="minorHAnsi"/>
          <w:lang w:eastAsia="pt-BR"/>
        </w:rPr>
        <w:t xml:space="preserve"> A liga metálica da agulha deverá apresentar qualidade adequada, isenta de pontos de oxidação.</w:t>
      </w:r>
    </w:p>
    <w:p w14:paraId="3DFE520C">
      <w:pPr>
        <w:spacing w:before="120" w:after="120" w:line="240" w:lineRule="auto"/>
        <w:jc w:val="both"/>
        <w:rPr>
          <w:rFonts w:eastAsia="Times New Roman" w:cstheme="minorHAnsi"/>
          <w:lang w:eastAsia="pt-BR"/>
        </w:rPr>
      </w:pPr>
      <w:r>
        <w:rPr>
          <w:rFonts w:eastAsia="Times New Roman" w:cstheme="minorHAnsi"/>
          <w:bCs/>
          <w:lang w:eastAsia="pt-BR"/>
        </w:rPr>
        <w:t>15.5.13.</w:t>
      </w:r>
      <w:r>
        <w:rPr>
          <w:rFonts w:eastAsia="Times New Roman" w:cstheme="minorHAnsi"/>
          <w:lang w:eastAsia="pt-BR"/>
        </w:rPr>
        <w:t xml:space="preserve"> A agulha deverá apresentar flexibilidade, resistência mecânica e ductilidade compatíveis com os procedimentos cirúrgicos.</w:t>
      </w:r>
    </w:p>
    <w:p w14:paraId="4A6EF27F">
      <w:pPr>
        <w:spacing w:before="120" w:after="120" w:line="240" w:lineRule="auto"/>
        <w:jc w:val="both"/>
        <w:rPr>
          <w:rFonts w:eastAsia="Times New Roman" w:cstheme="minorHAnsi"/>
          <w:lang w:eastAsia="pt-BR"/>
        </w:rPr>
      </w:pPr>
      <w:r>
        <w:rPr>
          <w:rFonts w:eastAsia="Times New Roman" w:cstheme="minorHAnsi"/>
          <w:bCs/>
          <w:lang w:eastAsia="pt-BR"/>
        </w:rPr>
        <w:t>15.5.14.</w:t>
      </w:r>
      <w:r>
        <w:rPr>
          <w:rFonts w:eastAsia="Times New Roman" w:cstheme="minorHAnsi"/>
          <w:lang w:eastAsia="pt-BR"/>
        </w:rPr>
        <w:t xml:space="preserve"> O calibre da agulha deverá ser uniforme e compatível com o diâmetro do fio, evitando trauma tecidual e sangramento excessivo.</w:t>
      </w:r>
    </w:p>
    <w:p w14:paraId="5E5E041E">
      <w:pPr>
        <w:spacing w:before="120" w:after="120" w:line="240" w:lineRule="auto"/>
        <w:jc w:val="both"/>
        <w:rPr>
          <w:rFonts w:eastAsia="Times New Roman" w:cstheme="minorHAnsi"/>
          <w:lang w:eastAsia="pt-BR"/>
        </w:rPr>
      </w:pPr>
      <w:r>
        <w:rPr>
          <w:rFonts w:eastAsia="Times New Roman" w:cstheme="minorHAnsi"/>
          <w:bCs/>
          <w:lang w:eastAsia="pt-BR"/>
        </w:rPr>
        <w:t>15.5.15.</w:t>
      </w:r>
      <w:r>
        <w:rPr>
          <w:rFonts w:eastAsia="Times New Roman" w:cstheme="minorHAnsi"/>
          <w:lang w:eastAsia="pt-BR"/>
        </w:rPr>
        <w:t xml:space="preserve"> Deverá haver absoluta conformidade entre as características físicas do produto e as informações constantes na embalagem quanto ao tipo, círculo e comprimento da agulha.</w:t>
      </w:r>
    </w:p>
    <w:p w14:paraId="19E1CD57">
      <w:pPr>
        <w:spacing w:before="120" w:after="120" w:line="240" w:lineRule="auto"/>
        <w:jc w:val="both"/>
        <w:rPr>
          <w:rFonts w:eastAsia="Times New Roman" w:cstheme="minorHAnsi"/>
          <w:lang w:eastAsia="pt-BR"/>
        </w:rPr>
      </w:pPr>
      <w:r>
        <w:rPr>
          <w:rFonts w:eastAsia="Times New Roman" w:cstheme="minorHAnsi"/>
          <w:bCs/>
          <w:lang w:eastAsia="pt-BR"/>
        </w:rPr>
        <w:t>15.5.16.</w:t>
      </w:r>
      <w:r>
        <w:rPr>
          <w:rFonts w:eastAsia="Times New Roman" w:cstheme="minorHAnsi"/>
          <w:lang w:eastAsia="pt-BR"/>
        </w:rPr>
        <w:t xml:space="preserve"> A agulha deverá possuir corpo retangular que proporcione segurança na fixação do porta-agulha.</w:t>
      </w:r>
    </w:p>
    <w:p w14:paraId="557D4F46">
      <w:pPr>
        <w:spacing w:before="120" w:after="120" w:line="240" w:lineRule="auto"/>
        <w:jc w:val="both"/>
        <w:rPr>
          <w:rFonts w:eastAsia="Times New Roman" w:cstheme="minorHAnsi"/>
          <w:lang w:eastAsia="pt-BR"/>
        </w:rPr>
      </w:pPr>
      <w:r>
        <w:rPr>
          <w:rFonts w:eastAsia="Times New Roman" w:cstheme="minorHAnsi"/>
          <w:bCs/>
          <w:lang w:eastAsia="pt-BR"/>
        </w:rPr>
        <w:t>15.5.17.</w:t>
      </w:r>
      <w:r>
        <w:rPr>
          <w:rFonts w:eastAsia="Times New Roman" w:cstheme="minorHAnsi"/>
          <w:lang w:eastAsia="pt-BR"/>
        </w:rPr>
        <w:t xml:space="preserve"> Para fins de avaliação de amostra, será considerada aprovada a que demonstrar capacidade de penetração adequada nos tecidos, curvatura compatível com a finalidade, resistência a deformações ou fraturas, estabilidade no porta-agulha e fixação apropriada entre fio e agulha.</w:t>
      </w:r>
    </w:p>
    <w:p w14:paraId="1563D03E">
      <w:pPr>
        <w:spacing w:before="120" w:after="120" w:line="240" w:lineRule="auto"/>
        <w:jc w:val="both"/>
        <w:rPr>
          <w:rFonts w:eastAsia="Times New Roman" w:cstheme="minorHAnsi"/>
          <w:lang w:eastAsia="pt-BR"/>
        </w:rPr>
      </w:pPr>
      <w:r>
        <w:rPr>
          <w:rFonts w:eastAsia="Times New Roman" w:cstheme="minorHAnsi"/>
          <w:bCs/>
          <w:lang w:eastAsia="pt-BR"/>
        </w:rPr>
        <w:t>15.5.18.</w:t>
      </w:r>
      <w:r>
        <w:rPr>
          <w:rFonts w:eastAsia="Times New Roman" w:cstheme="minorHAnsi"/>
          <w:lang w:eastAsia="pt-BR"/>
        </w:rPr>
        <w:t xml:space="preserve"> Quanto às características físicas, mecânicas e de histocompatibilidade, os fios deverão: possuir o comprimento indicado em rótulo; apresentar flexibilidade adequada; evitar efeito memória excessivo; apresentar resistência ao meio biológico; permitir segurança no nó; manter retenção tecidual adequada; contribuir para hemostasia; induzir mínima reação tecidual; não provocar infecção; não possuir ação carcinogênica.</w:t>
      </w:r>
    </w:p>
    <w:p w14:paraId="299D2A07">
      <w:pPr>
        <w:spacing w:before="120" w:after="120" w:line="240" w:lineRule="auto"/>
        <w:jc w:val="both"/>
        <w:rPr>
          <w:rFonts w:eastAsia="Times New Roman" w:cstheme="minorHAnsi"/>
          <w:lang w:eastAsia="pt-BR"/>
        </w:rPr>
      </w:pPr>
      <w:r>
        <w:rPr>
          <w:rFonts w:eastAsia="Times New Roman" w:cstheme="minorHAnsi"/>
          <w:bCs/>
          <w:lang w:eastAsia="pt-BR"/>
        </w:rPr>
        <w:t>15.5.19.</w:t>
      </w:r>
      <w:r>
        <w:rPr>
          <w:rFonts w:eastAsia="Times New Roman" w:cstheme="minorHAnsi"/>
          <w:lang w:eastAsia="pt-BR"/>
        </w:rPr>
        <w:t xml:space="preserve"> No tocante às embalagens e instruções de uso, todos os produtos deverão atender às disposições da RDC nº 185/2001, que regulamenta o registro de produtos médicos no âmbito da ANVISA.</w:t>
      </w:r>
    </w:p>
    <w:p w14:paraId="4F502A25">
      <w:pPr>
        <w:pStyle w:val="65"/>
        <w:numPr>
          <w:ilvl w:val="0"/>
          <w:numId w:val="11"/>
        </w:numPr>
        <w:shd w:val="clear" w:color="auto" w:fill="E7E6E6" w:themeFill="background2"/>
        <w:suppressAutoHyphens/>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DA ENTREGA, DO RECEBIMENTO E DO CRITÉRIO DE ACEITAÇÃO DO OBJETO </w:t>
      </w:r>
    </w:p>
    <w:p w14:paraId="5A9E8465">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entrega dos materiais deverá ser realizada no endereço constante na tabela abaixo das 08h00 às 16h00 horas, nos dias úteis.</w:t>
      </w:r>
    </w:p>
    <w:tbl>
      <w:tblPr>
        <w:tblStyle w:val="1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2"/>
        <w:gridCol w:w="6390"/>
      </w:tblGrid>
      <w:tr w14:paraId="6CEBCC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2"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716EB45D">
            <w:pPr>
              <w:spacing w:before="120" w:after="120"/>
              <w:jc w:val="both"/>
              <w:rPr>
                <w:rFonts w:cstheme="minorHAnsi"/>
              </w:rPr>
            </w:pPr>
            <w:r>
              <w:rPr>
                <w:rFonts w:cstheme="minorHAnsi"/>
              </w:rPr>
              <w:t>Hospital Ana Nery</w:t>
            </w:r>
          </w:p>
        </w:tc>
        <w:tc>
          <w:tcPr>
            <w:tcW w:w="6390"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14:paraId="7AF4FF4C">
            <w:pPr>
              <w:pStyle w:val="65"/>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Almoxarifado Central do HAN, sito à Rua Saldanha Marinho, s/n, Caixa D’ Água, Salvador. CEP 40.323-010</w:t>
            </w:r>
          </w:p>
        </w:tc>
      </w:tr>
    </w:tbl>
    <w:p w14:paraId="5127D137">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entrega dos materiais deverá ser realizada em </w:t>
      </w:r>
      <w:r>
        <w:rPr>
          <w:rFonts w:asciiTheme="minorHAnsi" w:hAnsiTheme="minorHAnsi" w:cstheme="minorHAnsi"/>
          <w:b/>
          <w:bCs/>
          <w:sz w:val="22"/>
          <w:szCs w:val="22"/>
        </w:rPr>
        <w:t>até 15 (quinze) dias corridos</w:t>
      </w:r>
      <w:r>
        <w:rPr>
          <w:rFonts w:asciiTheme="minorHAnsi" w:hAnsiTheme="minorHAnsi" w:cstheme="minorHAnsi"/>
          <w:sz w:val="22"/>
          <w:szCs w:val="22"/>
        </w:rPr>
        <w:t>, a partir do recebimento da Nota de Empenho ou documento equivalente, pelo CONTRATADO.</w:t>
      </w:r>
    </w:p>
    <w:p w14:paraId="54CC1F68">
      <w:pPr>
        <w:pStyle w:val="65"/>
        <w:numPr>
          <w:ilvl w:val="1"/>
          <w:numId w:val="11"/>
        </w:numPr>
        <w:suppressAutoHyphens/>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Os bens serão recebidos:</w:t>
      </w:r>
    </w:p>
    <w:p w14:paraId="755FA1B6">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Provisoriamente, a partir da entrega, para efeito de verificação da conformidade com as especificações constantes deste Estudo Técnico Preliminar e da proposta, limitando-se a verificar a sua conformidade com o discriminado na Nota Fiscal, fazendo constar no canhoto e no verso da Nota a data de entrega e, se for o caso, as irregularidades observadas;</w:t>
      </w:r>
    </w:p>
    <w:p w14:paraId="312756A1">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Definitivamente, após a verificação da conformidade com as especificações constantes da Solicitação e da proposta, e sua consequente aceitação que se dará </w:t>
      </w:r>
      <w:r>
        <w:rPr>
          <w:rFonts w:asciiTheme="minorHAnsi" w:hAnsiTheme="minorHAnsi" w:cstheme="minorHAnsi"/>
          <w:b/>
          <w:bCs/>
          <w:sz w:val="22"/>
          <w:szCs w:val="22"/>
        </w:rPr>
        <w:t>até 05 (cinco) dias úteis</w:t>
      </w:r>
      <w:r>
        <w:rPr>
          <w:rFonts w:asciiTheme="minorHAnsi" w:hAnsiTheme="minorHAnsi" w:cstheme="minorHAnsi"/>
          <w:sz w:val="22"/>
          <w:szCs w:val="22"/>
        </w:rPr>
        <w:t>, contados do recebimento provisório, por Comissão/Servidor designado pela Autoridade competente;</w:t>
      </w:r>
    </w:p>
    <w:p w14:paraId="09F2C615">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Servidor designado devolverá Nota Fiscal / Materiais, para as devidas correções;</w:t>
      </w:r>
    </w:p>
    <w:p w14:paraId="1F04913E">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(HAN) poderá exigir a substituição de qualquer dos materiais que não estejam de acordo com as especificações desta solicitação;</w:t>
      </w:r>
    </w:p>
    <w:p w14:paraId="34EC16E9">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pagos os materiais entregues em locais diferentes do mencionado no item 16.1 desta solicitação, ou materiais entregues a funcionários do Hospital Ana Nery não autorizados.</w:t>
      </w:r>
    </w:p>
    <w:p w14:paraId="14F1930A">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2814E0A2">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que não atenderem as especificações deverão ser </w:t>
      </w:r>
      <w:r>
        <w:rPr>
          <w:rFonts w:asciiTheme="minorHAnsi" w:hAnsiTheme="minorHAnsi" w:cstheme="minorHAnsi"/>
          <w:b/>
          <w:bCs/>
          <w:sz w:val="22"/>
          <w:szCs w:val="22"/>
        </w:rPr>
        <w:t>substituídos</w:t>
      </w:r>
      <w:r>
        <w:rPr>
          <w:rFonts w:asciiTheme="minorHAnsi" w:hAnsiTheme="minorHAnsi" w:cstheme="minorHAnsi"/>
          <w:sz w:val="22"/>
          <w:szCs w:val="22"/>
        </w:rPr>
        <w:t xml:space="preserve"> pela Contratada, no prazo máximo de </w:t>
      </w:r>
      <w:r>
        <w:rPr>
          <w:rFonts w:asciiTheme="minorHAnsi" w:hAnsiTheme="minorHAnsi" w:cstheme="minorHAnsi"/>
          <w:b/>
          <w:bCs/>
          <w:sz w:val="22"/>
          <w:szCs w:val="22"/>
        </w:rPr>
        <w:t>10 (dez) dias corridos</w:t>
      </w:r>
      <w:r>
        <w:rPr>
          <w:rFonts w:asciiTheme="minorHAnsi" w:hAnsiTheme="minorHAnsi" w:cstheme="minorHAnsi"/>
          <w:sz w:val="22"/>
          <w:szCs w:val="22"/>
        </w:rPr>
        <w:t>, sob pena de aplicação das sanções previstas no Termo de Referência.</w:t>
      </w:r>
    </w:p>
    <w:p w14:paraId="4941A7E8">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76653C39">
      <w:pPr>
        <w:pStyle w:val="65"/>
        <w:numPr>
          <w:ilvl w:val="1"/>
          <w:numId w:val="11"/>
        </w:numPr>
        <w:suppressAutoHyphens/>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Dos prazos</w:t>
      </w:r>
    </w:p>
    <w:p w14:paraId="7AF6BC17">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Prazo de entrega dos materiais: 15 (quinze) dias corridos, após recebimento da Nota de Empenho, ou documento equivalente.</w:t>
      </w:r>
    </w:p>
    <w:p w14:paraId="0D32EB5D">
      <w:pPr>
        <w:pStyle w:val="65"/>
        <w:numPr>
          <w:ilvl w:val="2"/>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Prazo de validade dos materiais: não inferior a 12 (doze) meses, a contar da data da entrega dos mesmos. </w:t>
      </w:r>
    </w:p>
    <w:p w14:paraId="372689E8">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ESTIMATIVA DO VALOR DE CONTRATAÇÃO </w:t>
      </w:r>
    </w:p>
    <w:p w14:paraId="05DAE72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custo estimado da contratação, que corresponde ao valor máximo aceitável, é de </w:t>
      </w:r>
      <w:r>
        <w:rPr>
          <w:rFonts w:asciiTheme="minorHAnsi" w:hAnsiTheme="minorHAnsi" w:cstheme="minorHAnsi"/>
          <w:b/>
          <w:bCs/>
          <w:color w:val="000000" w:themeColor="text1"/>
          <w:sz w:val="22"/>
          <w:szCs w:val="22"/>
          <w14:textFill>
            <w14:solidFill>
              <w14:schemeClr w14:val="tx1"/>
            </w14:solidFill>
          </w14:textFill>
        </w:rPr>
        <w:fldChar w:fldCharType="begin"/>
      </w:r>
      <w:r>
        <w:rPr>
          <w:rFonts w:asciiTheme="minorHAnsi" w:hAnsiTheme="minorHAnsi" w:cstheme="minorHAnsi"/>
          <w:b/>
          <w:bCs/>
          <w:color w:val="000000" w:themeColor="text1"/>
          <w:sz w:val="22"/>
          <w:szCs w:val="22"/>
          <w14:textFill>
            <w14:solidFill>
              <w14:schemeClr w14:val="tx1"/>
            </w14:solidFill>
          </w14:textFill>
        </w:rPr>
        <w:instrText xml:space="preserve"> =SUM(ABOVE) </w:instrText>
      </w:r>
      <w:r>
        <w:rPr>
          <w:rFonts w:asciiTheme="minorHAnsi" w:hAnsiTheme="minorHAnsi" w:cstheme="minorHAnsi"/>
          <w:b/>
          <w:bCs/>
          <w:color w:val="000000" w:themeColor="text1"/>
          <w:sz w:val="22"/>
          <w:szCs w:val="22"/>
          <w14:textFill>
            <w14:solidFill>
              <w14:schemeClr w14:val="tx1"/>
            </w14:solidFill>
          </w14:textFill>
        </w:rPr>
        <w:fldChar w:fldCharType="separate"/>
      </w:r>
      <w:r>
        <w:rPr>
          <w:rFonts w:asciiTheme="minorHAnsi" w:hAnsiTheme="minorHAnsi" w:cstheme="minorHAnsi"/>
          <w:b/>
          <w:bCs/>
          <w:color w:val="000000" w:themeColor="text1"/>
          <w:sz w:val="22"/>
          <w:szCs w:val="22"/>
          <w14:textFill>
            <w14:solidFill>
              <w14:schemeClr w14:val="tx1"/>
            </w14:solidFill>
          </w14:textFill>
        </w:rPr>
        <w:t>R$ 1.333.632,00</w:t>
      </w:r>
      <w:r>
        <w:rPr>
          <w:rFonts w:asciiTheme="minorHAnsi" w:hAnsiTheme="minorHAnsi" w:cstheme="minorHAnsi"/>
          <w:b/>
          <w:bCs/>
          <w:color w:val="000000" w:themeColor="text1"/>
          <w:sz w:val="22"/>
          <w:szCs w:val="22"/>
          <w14:textFill>
            <w14:solidFill>
              <w14:schemeClr w14:val="tx1"/>
            </w14:solidFill>
          </w14:textFill>
        </w:rPr>
        <w:fldChar w:fldCharType="end"/>
      </w:r>
      <w:r>
        <w:rPr>
          <w:rFonts w:asciiTheme="minorHAnsi" w:hAnsiTheme="minorHAnsi" w:cstheme="minorHAnsi"/>
          <w:b/>
          <w:bCs/>
          <w:color w:val="000000" w:themeColor="text1"/>
          <w:sz w:val="22"/>
          <w:szCs w:val="22"/>
          <w14:textFill>
            <w14:solidFill>
              <w14:schemeClr w14:val="tx1"/>
            </w14:solidFill>
          </w14:textFill>
        </w:rPr>
        <w:t xml:space="preserve"> </w:t>
      </w:r>
      <w:r>
        <w:rPr>
          <w:rFonts w:asciiTheme="minorHAnsi" w:hAnsiTheme="minorHAnsi" w:cstheme="minorHAnsi"/>
          <w:b/>
          <w:bCs/>
          <w:sz w:val="22"/>
          <w:szCs w:val="22"/>
        </w:rPr>
        <w:t>(Um milhão, trezentos e trinta e três mil, seiscentos e trinta e dois reais.</w:t>
      </w:r>
      <w:r>
        <w:rPr>
          <w:rFonts w:asciiTheme="minorHAnsi" w:hAnsiTheme="minorHAnsi" w:cstheme="minorHAnsi"/>
          <w:sz w:val="22"/>
          <w:szCs w:val="22"/>
        </w:rPr>
        <w:t>) Sendo que, o núcleo de Compras CHS/UFBA será o responsável por realizar a pesquisa de preço, de acordo com a legislação vigente, com o posterior envio do mapa de preço para a unidade HAN realizar análise e validação dos preços referenciais estimados.</w:t>
      </w:r>
    </w:p>
    <w:p w14:paraId="0B2726A3">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ALINHAMENTO ENTRE A CONTRATAÇÃ O E O PLANEJAMENTO </w:t>
      </w:r>
    </w:p>
    <w:p w14:paraId="4D76C92E">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2B8433AD">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PARCELAMENTO DA AQUISIÇÃO </w:t>
      </w:r>
    </w:p>
    <w:p w14:paraId="4C6476AD">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contratação, através de registro de preço, terá vigência de 12 meses, e dentro desse período os materiais serão solicitados mediante envio de empenho, em quantidades, conforme necessidades da Unidade.</w:t>
      </w:r>
    </w:p>
    <w:p w14:paraId="559C4263">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JUSTIFICATIVA DOS RESULTADOS PRETENDIDOS </w:t>
      </w:r>
    </w:p>
    <w:p w14:paraId="6C6AD6CA">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10B4D509">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PROVIDÊNCIAS A SEREM ADOTADAS  </w:t>
      </w:r>
    </w:p>
    <w:p w14:paraId="0DFF2EB0">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há providencias a serem adotadas antes da contratação.</w:t>
      </w:r>
    </w:p>
    <w:p w14:paraId="624DC904">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CONTRATAÇÕES CORRELATADAS E/OU INTERDEPENDENTE   </w:t>
      </w:r>
    </w:p>
    <w:p w14:paraId="45088721">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há no âmbito deste Hospital Ana Nery, contratações correlatas e/ou interdependente com o objeto da contratação em referência.</w:t>
      </w:r>
    </w:p>
    <w:p w14:paraId="71A24AFB">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DECLARAÇÃO DA VIABILIDADE DA CONTRATAÇÃO   </w:t>
      </w:r>
    </w:p>
    <w:p w14:paraId="19B22A34">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estudos preliminares evidenciaram que a aquisição dos materiais se mostra possível tecnicamente e fundamentadamente necessária, conforme se pode depreender das justificativas constantes no item 4.</w:t>
      </w:r>
    </w:p>
    <w:p w14:paraId="30BDA5EA">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Diante do exposto declaram-se ser viável a contratação pretendida.</w:t>
      </w:r>
    </w:p>
    <w:p w14:paraId="362A43C2">
      <w:pPr>
        <w:pStyle w:val="65"/>
        <w:numPr>
          <w:ilvl w:val="0"/>
          <w:numId w:val="11"/>
        </w:numPr>
        <w:suppressAutoHyphens/>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 xml:space="preserve">POSSÍVEIS IMPACTOS AMBIENTAIS    </w:t>
      </w:r>
    </w:p>
    <w:p w14:paraId="07B6444C">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presente contratação refere-se ao fornecimento de Fios de Sutura de uso único, classificados como bens de consumo assistencial. Esses materiais, por sua natureza e finalidade, não geram impactos ambientais relevantes durante sua utilização, estando os resíduos resultantes submetidos às normas de gerenciamento previstas no Plano de Gerenciamento de Resíduos de Serviços de Saúde (PGRSS) da instituição, em conformidade com a RDC ANVISA nº 222/2018.</w:t>
      </w:r>
    </w:p>
    <w:p w14:paraId="49F321F0">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impactos ambientais relacionados ao objeto limitam-se ao descarte adequado das embalagens e dos resíduos perfurocortantes ou contaminados após o uso, responsabilidade já contemplada nos protocolos internos do Hospital Ana Nery, atendendo às normas da ANVISA, CONAMA e demais legislações sanitárias aplicáveis.</w:t>
      </w:r>
    </w:p>
    <w:p w14:paraId="602EFCEF">
      <w:pPr>
        <w:pStyle w:val="65"/>
        <w:numPr>
          <w:ilvl w:val="1"/>
          <w:numId w:val="11"/>
        </w:numPr>
        <w:suppressAutoHyphens/>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aquisição de bens, a Administração observa os princípios gerais de contratações sustentáveis estabelecidos pela Lei nº 14.133/2021 (art. 11), garantindo que os produtos adquiridos estejam devidamente regularizados na ANVISA, com rastreabilidade, conformidade e proteção sanitária.</w:t>
      </w:r>
    </w:p>
    <w:p w14:paraId="47359EB6">
      <w:pPr>
        <w:spacing w:before="120" w:after="120" w:line="240" w:lineRule="auto"/>
        <w:jc w:val="both"/>
        <w:rPr>
          <w:rFonts w:cstheme="minorHAnsi"/>
        </w:rPr>
      </w:pPr>
      <w:r>
        <w:rPr>
          <w:rFonts w:cstheme="minorHAnsi"/>
        </w:rPr>
        <w:t>Salvador/BA, 24 de março de 2026.</w:t>
      </w:r>
    </w:p>
    <w:p w14:paraId="6013EB98">
      <w:pPr>
        <w:spacing w:before="120" w:after="120" w:line="240" w:lineRule="auto"/>
        <w:jc w:val="both"/>
        <w:rPr>
          <w:rFonts w:cstheme="minorHAnsi"/>
        </w:rPr>
      </w:pPr>
      <w:r>
        <w:rPr>
          <w:rFonts w:cstheme="minorHAnsi"/>
        </w:rPr>
        <w:t>Equipe de Planejamento:</w:t>
      </w:r>
    </w:p>
    <w:p w14:paraId="36DEF872">
      <w:pPr>
        <w:spacing w:before="120" w:after="120" w:line="240" w:lineRule="auto"/>
        <w:rPr>
          <w:rFonts w:cstheme="minorHAnsi"/>
        </w:rPr>
      </w:pPr>
      <w:r>
        <w:rPr>
          <w:rFonts w:cstheme="minorHAnsi"/>
        </w:rPr>
        <w:t>__________________________</w:t>
      </w:r>
    </w:p>
    <w:p w14:paraId="438549BA">
      <w:pPr>
        <w:spacing w:after="0" w:line="240" w:lineRule="auto"/>
        <w:rPr>
          <w:rFonts w:cstheme="minorHAnsi"/>
          <w:b/>
          <w:bCs/>
        </w:rPr>
      </w:pPr>
      <w:r>
        <w:rPr>
          <w:rFonts w:cstheme="minorHAnsi"/>
          <w:b/>
          <w:bCs/>
        </w:rPr>
        <w:t>João Paulo Alves</w:t>
      </w:r>
    </w:p>
    <w:p w14:paraId="7903C9AE">
      <w:pPr>
        <w:spacing w:after="0" w:line="240" w:lineRule="auto"/>
        <w:rPr>
          <w:rFonts w:cstheme="minorHAnsi"/>
        </w:rPr>
      </w:pPr>
      <w:r>
        <w:rPr>
          <w:rFonts w:cstheme="minorHAnsi"/>
        </w:rPr>
        <w:t>Coordenação de Suprimentos/HAN</w:t>
      </w:r>
    </w:p>
    <w:p w14:paraId="2079A220">
      <w:pPr>
        <w:spacing w:before="120" w:after="120" w:line="240" w:lineRule="auto"/>
        <w:jc w:val="center"/>
        <w:rPr>
          <w:rFonts w:cstheme="minorHAnsi"/>
        </w:rPr>
      </w:pPr>
      <w:r>
        <w:rPr>
          <w:rFonts w:cstheme="minorHAnsi"/>
        </w:rPr>
        <w:t>___________________________</w:t>
      </w:r>
    </w:p>
    <w:p w14:paraId="6CFDF815">
      <w:pPr>
        <w:spacing w:after="0" w:line="240" w:lineRule="auto"/>
        <w:jc w:val="center"/>
        <w:rPr>
          <w:rFonts w:cstheme="minorHAnsi"/>
        </w:rPr>
      </w:pPr>
      <w:r>
        <w:rPr>
          <w:rFonts w:cstheme="minorHAnsi"/>
        </w:rPr>
        <w:t>Jefferson Gama</w:t>
      </w:r>
    </w:p>
    <w:p w14:paraId="4CB92524">
      <w:pPr>
        <w:spacing w:after="0" w:line="240" w:lineRule="auto"/>
        <w:jc w:val="center"/>
        <w:rPr>
          <w:rFonts w:cstheme="minorHAnsi"/>
        </w:rPr>
      </w:pPr>
      <w:r>
        <w:rPr>
          <w:rFonts w:cstheme="minorHAnsi"/>
        </w:rPr>
        <w:t>Gerente de Suprimentos/HAN</w:t>
      </w:r>
    </w:p>
    <w:p w14:paraId="3C90A4B6">
      <w:pPr>
        <w:spacing w:before="120" w:after="120" w:line="240" w:lineRule="auto"/>
        <w:jc w:val="center"/>
        <w:rPr>
          <w:rFonts w:cstheme="minorHAnsi"/>
        </w:rPr>
      </w:pPr>
    </w:p>
    <w:p w14:paraId="7D5DCECA">
      <w:pPr>
        <w:spacing w:before="120" w:after="120" w:line="240" w:lineRule="auto"/>
        <w:jc w:val="right"/>
        <w:rPr>
          <w:rFonts w:cstheme="minorHAnsi"/>
        </w:rPr>
      </w:pPr>
      <w:r>
        <w:rPr>
          <w:rFonts w:cstheme="minorHAnsi"/>
        </w:rPr>
        <w:t>Autorizado por:</w:t>
      </w:r>
    </w:p>
    <w:p w14:paraId="012B5DBF">
      <w:pPr>
        <w:spacing w:before="120" w:after="120" w:line="240" w:lineRule="auto"/>
        <w:jc w:val="right"/>
        <w:rPr>
          <w:rFonts w:cstheme="minorHAnsi"/>
        </w:rPr>
      </w:pPr>
      <w:r>
        <w:rPr>
          <w:rFonts w:cstheme="minorHAnsi"/>
        </w:rPr>
        <w:t>___________________________</w:t>
      </w:r>
    </w:p>
    <w:p w14:paraId="2A84D85F">
      <w:pPr>
        <w:spacing w:before="120" w:after="120" w:line="240" w:lineRule="auto"/>
        <w:jc w:val="right"/>
        <w:rPr>
          <w:rFonts w:cstheme="minorHAnsi"/>
        </w:rPr>
      </w:pPr>
      <w:r>
        <w:rPr>
          <w:rFonts w:cstheme="minorHAnsi"/>
        </w:rPr>
        <w:t>Dr. Luiz Carlos Passos</w:t>
      </w:r>
    </w:p>
    <w:p w14:paraId="7A8CD825">
      <w:pPr>
        <w:spacing w:before="120" w:after="120" w:line="240" w:lineRule="auto"/>
        <w:jc w:val="right"/>
        <w:rPr>
          <w:rFonts w:cstheme="minorHAnsi"/>
        </w:rPr>
      </w:pPr>
      <w:r>
        <w:rPr>
          <w:rFonts w:cstheme="minorHAnsi"/>
        </w:rPr>
        <w:t>Diretora Geral/HAN</w:t>
      </w:r>
    </w:p>
    <w:p w14:paraId="2EA96FDC">
      <w:pPr>
        <w:spacing w:before="120" w:after="120" w:line="240" w:lineRule="auto"/>
        <w:ind w:right="-1"/>
        <w:contextualSpacing/>
        <w:jc w:val="right"/>
        <w:rPr>
          <w:rFonts w:eastAsia="Calibri" w:cstheme="minorHAnsi"/>
        </w:rPr>
      </w:pPr>
    </w:p>
    <w:p w14:paraId="06F01C8B">
      <w:pPr>
        <w:spacing w:before="120" w:after="120" w:line="240" w:lineRule="auto"/>
        <w:ind w:right="-1"/>
        <w:contextualSpacing/>
        <w:jc w:val="right"/>
        <w:rPr>
          <w:rFonts w:eastAsia="Calibri" w:cstheme="minorHAnsi"/>
        </w:rPr>
      </w:pPr>
    </w:p>
    <w:p w14:paraId="7529BE7D">
      <w:pPr>
        <w:autoSpaceDE w:val="0"/>
        <w:autoSpaceDN w:val="0"/>
        <w:adjustRightInd w:val="0"/>
        <w:spacing w:before="120" w:after="120" w:line="240" w:lineRule="auto"/>
        <w:ind w:right="-1"/>
        <w:contextualSpacing/>
        <w:jc w:val="right"/>
        <w:rPr>
          <w:rFonts w:eastAsia="Calibri" w:cstheme="minorHAnsi"/>
        </w:rPr>
        <w:sectPr>
          <w:headerReference r:id="rId5" w:type="default"/>
          <w:footerReference r:id="rId6" w:type="default"/>
          <w:pgSz w:w="11910" w:h="16840"/>
          <w:pgMar w:top="1701" w:right="1134" w:bottom="1134" w:left="1701" w:header="397" w:footer="346" w:gutter="0"/>
          <w:cols w:space="720" w:num="1"/>
        </w:sectPr>
      </w:pPr>
    </w:p>
    <w:p w14:paraId="1D3EC7FB">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3B801E5A">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40FEEBBF">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4476D416">
      <w:pPr>
        <w:ind w:left="357"/>
        <w:jc w:val="center"/>
        <w:rPr>
          <w:rFonts w:cstheme="minorHAnsi"/>
          <w:b/>
          <w:i/>
          <w:iCs/>
          <w:color w:val="FF0000"/>
        </w:rPr>
      </w:pPr>
      <w:bookmarkStart w:id="118" w:name="_Hlk175669327"/>
    </w:p>
    <w:p w14:paraId="37AF4643">
      <w:pPr>
        <w:pStyle w:val="74"/>
        <w:keepNext w:val="0"/>
        <w:keepLines w:val="0"/>
        <w:numPr>
          <w:ilvl w:val="0"/>
          <w:numId w:val="12"/>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67882819">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18"/>
    <w:p w14:paraId="65A6D48C">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1DBDB4CB">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15637C3A">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19B0309D">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53DA778A">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6421D340">
      <w:pPr>
        <w:pStyle w:val="161"/>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2B610CA4">
      <w:pPr>
        <w:pStyle w:val="161"/>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7E79EE29">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712B10E1">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00579302">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13AAE7DC">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1678A83A">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D64312C">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32403A77">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4B2AF57F">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39990BEE">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399BFAC4">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33C3BFF3">
      <w:pPr>
        <w:pStyle w:val="53"/>
        <w:numPr>
          <w:ilvl w:val="3"/>
          <w:numId w:val="10"/>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44B5371A">
      <w:pPr>
        <w:pStyle w:val="52"/>
        <w:numPr>
          <w:ilvl w:val="2"/>
          <w:numId w:val="10"/>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4A82AACE">
      <w:pPr>
        <w:pStyle w:val="156"/>
        <w:numPr>
          <w:ilvl w:val="1"/>
          <w:numId w:val="10"/>
        </w:numPr>
        <w:ind w:left="0" w:firstLine="0"/>
        <w:rPr>
          <w:rFonts w:asciiTheme="minorHAnsi" w:hAnsiTheme="minorHAnsi" w:cstheme="minorHAnsi"/>
          <w:sz w:val="22"/>
          <w:szCs w:val="22"/>
        </w:rPr>
      </w:pPr>
      <w:bookmarkStart w:id="119" w:name="_Hlk114499841"/>
      <w:bookmarkEnd w:id="119"/>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0B979C0">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1A40D2EA">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929CFDE">
      <w:pPr>
        <w:pStyle w:val="52"/>
        <w:numPr>
          <w:ilvl w:val="2"/>
          <w:numId w:val="10"/>
        </w:numPr>
        <w:tabs>
          <w:tab w:val="clear" w:pos="360"/>
        </w:tabs>
        <w:ind w:left="284" w:firstLine="0"/>
        <w:rPr>
          <w:rFonts w:eastAsia="Arial" w:asciiTheme="minorHAnsi" w:hAnsiTheme="minorHAnsi" w:cstheme="minorHAnsi"/>
        </w:rPr>
      </w:pPr>
      <w:bookmarkStart w:id="120"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0"/>
    <w:p w14:paraId="4943E9A8">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46CA876E">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088612B6">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4087AF9F">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6AB5FC3C">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6C8C8E4">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7B456442">
      <w:pPr>
        <w:pStyle w:val="53"/>
        <w:numPr>
          <w:ilvl w:val="3"/>
          <w:numId w:val="10"/>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67F684F4">
      <w:pPr>
        <w:pStyle w:val="53"/>
        <w:numPr>
          <w:ilvl w:val="3"/>
          <w:numId w:val="10"/>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6846D9A3">
      <w:pPr>
        <w:pStyle w:val="53"/>
        <w:numPr>
          <w:ilvl w:val="3"/>
          <w:numId w:val="10"/>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34543CAD">
      <w:pPr>
        <w:pStyle w:val="53"/>
        <w:numPr>
          <w:ilvl w:val="3"/>
          <w:numId w:val="10"/>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107C4865">
      <w:pPr>
        <w:pStyle w:val="53"/>
        <w:numPr>
          <w:ilvl w:val="3"/>
          <w:numId w:val="10"/>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2B1A36C1">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04964F0A">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1D9A3E65">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3EA6FC91">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4D0F8635">
      <w:pPr>
        <w:pStyle w:val="52"/>
        <w:numPr>
          <w:ilvl w:val="2"/>
          <w:numId w:val="10"/>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0DA064D3">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66BBA097">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47191A66">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A6B9129">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0C973990">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5C1E173A">
      <w:pPr>
        <w:pStyle w:val="161"/>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1F51C490">
      <w:pPr>
        <w:pStyle w:val="161"/>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45EAF444">
      <w:pPr>
        <w:pStyle w:val="161"/>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520DA28B">
      <w:pPr>
        <w:pStyle w:val="163"/>
        <w:numPr>
          <w:ilvl w:val="2"/>
          <w:numId w:val="10"/>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49D66F32">
      <w:pPr>
        <w:pStyle w:val="163"/>
        <w:numPr>
          <w:ilvl w:val="2"/>
          <w:numId w:val="10"/>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0AE19E79">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94281B6">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26269335">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5F30B3D0">
      <w:pPr>
        <w:pStyle w:val="53"/>
        <w:numPr>
          <w:ilvl w:val="3"/>
          <w:numId w:val="10"/>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3F92A374">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17B16142">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54514008">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4E7468D4">
      <w:pPr>
        <w:pStyle w:val="52"/>
        <w:numPr>
          <w:ilvl w:val="2"/>
          <w:numId w:val="10"/>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014545B2">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53220CA0">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7D21E4D1">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7BCE4F38">
      <w:pPr>
        <w:pStyle w:val="156"/>
        <w:numPr>
          <w:ilvl w:val="1"/>
          <w:numId w:val="10"/>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28F28742">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646CFF8B">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6049658">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0A18C767">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247EF851">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ADED103">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014AA324">
      <w:pPr>
        <w:pStyle w:val="74"/>
        <w:keepNext w:val="0"/>
        <w:keepLines w:val="0"/>
        <w:numPr>
          <w:ilvl w:val="0"/>
          <w:numId w:val="10"/>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494C1033">
      <w:pPr>
        <w:pStyle w:val="156"/>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317D8FBC">
      <w:pPr>
        <w:rPr>
          <w:rFonts w:eastAsia="Times New Roman" w:cstheme="minorHAnsi"/>
          <w:color w:val="000080"/>
          <w:u w:val="single"/>
        </w:rPr>
      </w:pPr>
      <w:r>
        <w:rPr>
          <w:rFonts w:eastAsia="Times New Roman" w:cstheme="minorHAnsi"/>
          <w:color w:val="000080"/>
          <w:u w:val="single"/>
        </w:rPr>
        <w:br w:type="page"/>
      </w:r>
    </w:p>
    <w:p w14:paraId="582E204E">
      <w:pPr>
        <w:jc w:val="center"/>
        <w:outlineLvl w:val="0"/>
        <w:rPr>
          <w:rFonts w:cstheme="minorHAnsi"/>
          <w:b/>
        </w:rPr>
      </w:pPr>
      <w:r>
        <w:rPr>
          <w:rFonts w:cstheme="minorHAnsi"/>
          <w:b/>
        </w:rPr>
        <w:t>ANEXO III</w:t>
      </w:r>
    </w:p>
    <w:p w14:paraId="1DB1CEC6">
      <w:pPr>
        <w:jc w:val="center"/>
        <w:outlineLvl w:val="0"/>
        <w:rPr>
          <w:rFonts w:cstheme="minorHAnsi"/>
          <w:b/>
        </w:rPr>
      </w:pPr>
    </w:p>
    <w:p w14:paraId="31C7590F">
      <w:pPr>
        <w:spacing w:after="360"/>
        <w:jc w:val="center"/>
        <w:rPr>
          <w:rFonts w:cstheme="minorHAnsi"/>
          <w:b/>
        </w:rPr>
      </w:pPr>
      <w:r>
        <w:rPr>
          <w:rFonts w:cstheme="minorHAnsi"/>
          <w:b/>
        </w:rPr>
        <w:t>TERMO DE CIÊNCIA E CONCORDÂNCIA</w:t>
      </w:r>
    </w:p>
    <w:p w14:paraId="24B8034D">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90037/2026, bem como que se responsabiliza, sob as penas da Lei, pela veracidade e legitimidade das informações e documentos apresentados durante o processo de contratação.</w:t>
      </w:r>
    </w:p>
    <w:p w14:paraId="32FF0A91">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2D5FA07D">
      <w:pPr>
        <w:spacing w:before="480"/>
        <w:jc w:val="center"/>
        <w:rPr>
          <w:rFonts w:cstheme="minorHAnsi"/>
        </w:rPr>
      </w:pPr>
      <w:r>
        <w:rPr>
          <w:rFonts w:cstheme="minorHAnsi"/>
        </w:rPr>
        <w:t>__________________________________________</w:t>
      </w:r>
    </w:p>
    <w:p w14:paraId="0F578BB0">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6DD65019">
      <w:pPr>
        <w:spacing w:before="120" w:after="120" w:line="360" w:lineRule="auto"/>
        <w:ind w:left="284"/>
        <w:jc w:val="center"/>
        <w:rPr>
          <w:rFonts w:cstheme="minorHAnsi"/>
        </w:rPr>
      </w:pPr>
    </w:p>
    <w:p w14:paraId="5C8BAAC8">
      <w:pPr>
        <w:spacing w:before="120" w:after="120" w:line="360" w:lineRule="auto"/>
        <w:ind w:left="284"/>
        <w:jc w:val="center"/>
        <w:rPr>
          <w:rFonts w:cstheme="minorHAnsi"/>
        </w:rPr>
      </w:pPr>
    </w:p>
    <w:p w14:paraId="29910CD7">
      <w:pPr>
        <w:spacing w:before="120" w:after="120" w:line="360" w:lineRule="auto"/>
        <w:ind w:left="284"/>
        <w:jc w:val="center"/>
        <w:rPr>
          <w:rFonts w:cstheme="minorHAnsi"/>
        </w:rPr>
      </w:pPr>
    </w:p>
    <w:p w14:paraId="7CB2A8A6">
      <w:pPr>
        <w:spacing w:before="120" w:after="120" w:line="360" w:lineRule="auto"/>
        <w:ind w:left="284"/>
        <w:jc w:val="center"/>
        <w:rPr>
          <w:rFonts w:cstheme="minorHAnsi"/>
        </w:rPr>
      </w:pPr>
    </w:p>
    <w:p w14:paraId="10D05005">
      <w:pPr>
        <w:spacing w:before="120" w:after="120" w:line="360" w:lineRule="auto"/>
        <w:ind w:left="284"/>
        <w:jc w:val="center"/>
        <w:rPr>
          <w:rFonts w:cstheme="minorHAnsi"/>
        </w:rPr>
      </w:pPr>
    </w:p>
    <w:p w14:paraId="03E59599">
      <w:pPr>
        <w:spacing w:before="120" w:after="120" w:line="360" w:lineRule="auto"/>
        <w:ind w:left="284"/>
        <w:jc w:val="center"/>
        <w:rPr>
          <w:rFonts w:cstheme="minorHAnsi"/>
        </w:rPr>
      </w:pPr>
    </w:p>
    <w:p w14:paraId="0A43DDCD">
      <w:pPr>
        <w:spacing w:before="120" w:after="120" w:line="360" w:lineRule="auto"/>
        <w:ind w:left="284"/>
        <w:jc w:val="center"/>
        <w:rPr>
          <w:rFonts w:cstheme="minorHAnsi"/>
        </w:rPr>
      </w:pPr>
    </w:p>
    <w:p w14:paraId="4D9B35F8">
      <w:pPr>
        <w:spacing w:before="120" w:after="120" w:line="360" w:lineRule="auto"/>
        <w:ind w:left="284"/>
        <w:jc w:val="center"/>
        <w:rPr>
          <w:rFonts w:cstheme="minorHAnsi"/>
        </w:rPr>
      </w:pPr>
    </w:p>
    <w:p w14:paraId="6B83AD87">
      <w:pPr>
        <w:spacing w:before="120" w:after="120" w:line="360" w:lineRule="auto"/>
        <w:ind w:left="284"/>
        <w:jc w:val="center"/>
        <w:rPr>
          <w:rFonts w:cstheme="minorHAnsi"/>
        </w:rPr>
      </w:pPr>
    </w:p>
    <w:p w14:paraId="21034ABB">
      <w:pPr>
        <w:spacing w:before="120" w:after="120" w:line="360" w:lineRule="auto"/>
        <w:ind w:left="284"/>
        <w:jc w:val="center"/>
        <w:rPr>
          <w:rFonts w:cstheme="minorHAnsi"/>
        </w:rPr>
      </w:pPr>
    </w:p>
    <w:p w14:paraId="3144B931">
      <w:pPr>
        <w:spacing w:before="120" w:after="120" w:line="360" w:lineRule="auto"/>
        <w:ind w:left="284"/>
        <w:jc w:val="center"/>
        <w:rPr>
          <w:rFonts w:cstheme="minorHAnsi"/>
        </w:rPr>
      </w:pPr>
    </w:p>
    <w:p w14:paraId="5FB466DC">
      <w:pPr>
        <w:spacing w:before="120" w:after="120" w:line="360" w:lineRule="auto"/>
        <w:ind w:left="284"/>
        <w:jc w:val="center"/>
        <w:rPr>
          <w:rFonts w:cstheme="minorHAnsi"/>
        </w:rPr>
      </w:pPr>
    </w:p>
    <w:p w14:paraId="0C3C23CA">
      <w:pPr>
        <w:spacing w:before="120" w:after="120" w:line="360" w:lineRule="auto"/>
        <w:ind w:left="284"/>
        <w:jc w:val="center"/>
        <w:rPr>
          <w:rFonts w:cstheme="minorHAnsi"/>
        </w:rPr>
      </w:pPr>
    </w:p>
    <w:p w14:paraId="53E8FACC">
      <w:pPr>
        <w:spacing w:line="360" w:lineRule="auto"/>
        <w:ind w:left="284"/>
        <w:jc w:val="center"/>
        <w:rPr>
          <w:rFonts w:cstheme="minorHAnsi"/>
          <w:b/>
          <w:u w:val="single"/>
        </w:rPr>
      </w:pPr>
    </w:p>
    <w:p w14:paraId="735D87E5">
      <w:pPr>
        <w:spacing w:line="360" w:lineRule="auto"/>
        <w:ind w:left="284"/>
        <w:jc w:val="center"/>
        <w:rPr>
          <w:rFonts w:cstheme="minorHAnsi"/>
          <w:b/>
          <w:u w:val="single"/>
        </w:rPr>
      </w:pPr>
    </w:p>
    <w:p w14:paraId="7B7E8E2C">
      <w:pPr>
        <w:spacing w:line="360" w:lineRule="auto"/>
        <w:ind w:left="284"/>
        <w:jc w:val="center"/>
        <w:rPr>
          <w:rFonts w:cstheme="minorHAnsi"/>
          <w:b/>
          <w:u w:val="single"/>
        </w:rPr>
      </w:pPr>
      <w:r>
        <w:rPr>
          <w:rFonts w:cstheme="minorHAnsi"/>
          <w:b/>
          <w:u w:val="single"/>
        </w:rPr>
        <w:t>ANEXO IV</w:t>
      </w:r>
    </w:p>
    <w:p w14:paraId="26D0F82B">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30CE55D5">
      <w:pPr>
        <w:spacing w:line="360" w:lineRule="auto"/>
        <w:ind w:left="284"/>
        <w:jc w:val="center"/>
        <w:rPr>
          <w:rFonts w:cstheme="minorHAnsi"/>
          <w:b/>
          <w:u w:val="single"/>
        </w:rPr>
      </w:pPr>
    </w:p>
    <w:p w14:paraId="3FF7784C">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23066.014123/2026-14</w:t>
      </w:r>
    </w:p>
    <w:p w14:paraId="3BDFB51D">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705C32C7">
      <w:pPr>
        <w:spacing w:line="360" w:lineRule="auto"/>
        <w:ind w:left="284"/>
        <w:jc w:val="center"/>
        <w:rPr>
          <w:rFonts w:cstheme="minorHAnsi"/>
          <w:b/>
        </w:rPr>
      </w:pPr>
    </w:p>
    <w:p w14:paraId="13E91831">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90037/2026</w:t>
      </w:r>
      <w:r>
        <w:rPr>
          <w:rFonts w:cstheme="minorHAnsi"/>
        </w:rPr>
        <w:t xml:space="preserve">, publicada no ...... de ...../...../200....., processo administrativo </w:t>
      </w:r>
      <w:r>
        <w:rPr>
          <w:rFonts w:cstheme="minorHAnsi"/>
          <w:b/>
        </w:rPr>
        <w:t xml:space="preserve">nº </w:t>
      </w:r>
      <w:r>
        <w:rPr>
          <w:rFonts w:cstheme="minorHAnsi"/>
          <w:b/>
          <w:color w:val="FF0000"/>
        </w:rPr>
        <w:t>23066.014123/2026-14</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3F85C483">
      <w:pPr>
        <w:spacing w:line="360" w:lineRule="auto"/>
        <w:ind w:left="284"/>
        <w:jc w:val="both"/>
        <w:rPr>
          <w:rFonts w:cstheme="minorHAnsi"/>
        </w:rPr>
      </w:pPr>
    </w:p>
    <w:p w14:paraId="2C577371">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3029D901">
      <w:pPr>
        <w:widowControl w:val="0"/>
        <w:numPr>
          <w:ilvl w:val="1"/>
          <w:numId w:val="14"/>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AQUISIÇÃO DE MATERIAL MÉDICO HOSPITALAR</w:t>
      </w:r>
      <w:r>
        <w:rPr>
          <w:rFonts w:cstheme="minorHAnsi"/>
          <w:bCs/>
          <w:color w:val="FF0000"/>
          <w:lang w:eastAsia="ar-SA"/>
        </w:rPr>
        <w:t>,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90037/2026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4919C358">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55054159">
      <w:pPr>
        <w:widowControl w:val="0"/>
        <w:numPr>
          <w:ilvl w:val="1"/>
          <w:numId w:val="13"/>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40263D94">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2B3DF0D5">
            <w:pPr>
              <w:widowControl w:val="0"/>
              <w:autoSpaceDE w:val="0"/>
              <w:autoSpaceDN w:val="0"/>
              <w:adjustRightInd w:val="0"/>
              <w:ind w:right="-28"/>
              <w:jc w:val="center"/>
              <w:rPr>
                <w:rFonts w:cstheme="minorHAnsi"/>
              </w:rPr>
            </w:pPr>
            <w:r>
              <w:rPr>
                <w:rFonts w:cstheme="minorHAnsi"/>
              </w:rPr>
              <w:t>Item</w:t>
            </w:r>
          </w:p>
          <w:p w14:paraId="7CEBD54D">
            <w:pPr>
              <w:widowControl w:val="0"/>
              <w:autoSpaceDE w:val="0"/>
              <w:autoSpaceDN w:val="0"/>
              <w:adjustRightInd w:val="0"/>
              <w:ind w:right="-28"/>
              <w:jc w:val="center"/>
              <w:rPr>
                <w:rFonts w:cstheme="minorHAnsi"/>
              </w:rPr>
            </w:pPr>
            <w:r>
              <w:rPr>
                <w:rFonts w:cstheme="minorHAnsi"/>
              </w:rPr>
              <w:t>do</w:t>
            </w:r>
          </w:p>
          <w:p w14:paraId="426F2F2C">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40E3F737">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6F546293">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2C704318">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23172A95">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2D128000">
            <w:pPr>
              <w:widowControl w:val="0"/>
              <w:autoSpaceDE w:val="0"/>
              <w:autoSpaceDN w:val="0"/>
              <w:adjustRightInd w:val="0"/>
              <w:ind w:right="-28"/>
              <w:jc w:val="center"/>
              <w:rPr>
                <w:rFonts w:cstheme="minorHAnsi"/>
              </w:rPr>
            </w:pPr>
            <w:r>
              <w:rPr>
                <w:rFonts w:cstheme="minorHAnsi"/>
              </w:rPr>
              <w:t xml:space="preserve">Marca </w:t>
            </w:r>
          </w:p>
          <w:p w14:paraId="460B41C2">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66B084B8">
            <w:pPr>
              <w:widowControl w:val="0"/>
              <w:autoSpaceDE w:val="0"/>
              <w:autoSpaceDN w:val="0"/>
              <w:adjustRightInd w:val="0"/>
              <w:ind w:right="-28"/>
              <w:jc w:val="center"/>
              <w:rPr>
                <w:rFonts w:cstheme="minorHAnsi"/>
              </w:rPr>
            </w:pPr>
            <w:r>
              <w:rPr>
                <w:rFonts w:cstheme="minorHAnsi"/>
              </w:rPr>
              <w:t>Modelo</w:t>
            </w:r>
          </w:p>
          <w:p w14:paraId="6090E4E3">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459D8A49">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185EAA90">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12B9599C">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316F5B0F">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153D0BD3">
            <w:pPr>
              <w:widowControl w:val="0"/>
              <w:autoSpaceDE w:val="0"/>
              <w:autoSpaceDN w:val="0"/>
              <w:adjustRightInd w:val="0"/>
              <w:ind w:right="-28"/>
              <w:jc w:val="center"/>
              <w:rPr>
                <w:rFonts w:cstheme="minorHAnsi"/>
              </w:rPr>
            </w:pPr>
            <w:r>
              <w:rPr>
                <w:rFonts w:cstheme="minorHAnsi"/>
              </w:rPr>
              <w:t>Prazo garantia ou validade</w:t>
            </w:r>
          </w:p>
        </w:tc>
      </w:tr>
      <w:tr w14:paraId="7A66BA1D">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2A8F73D0">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3B7FD785">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62943DDE">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09FCF31F">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1028373C">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26053765">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15D357A6">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029BF5D9">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16579FEB">
            <w:pPr>
              <w:widowControl w:val="0"/>
              <w:autoSpaceDE w:val="0"/>
              <w:autoSpaceDN w:val="0"/>
              <w:adjustRightInd w:val="0"/>
              <w:spacing w:line="360" w:lineRule="auto"/>
              <w:ind w:right="-30"/>
              <w:jc w:val="both"/>
              <w:rPr>
                <w:rFonts w:cstheme="minorHAnsi"/>
              </w:rPr>
            </w:pPr>
          </w:p>
        </w:tc>
      </w:tr>
    </w:tbl>
    <w:p w14:paraId="374F387F">
      <w:pPr>
        <w:widowControl w:val="0"/>
        <w:numPr>
          <w:ilvl w:val="1"/>
          <w:numId w:val="13"/>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588DBE34">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70106B02">
      <w:pPr>
        <w:pStyle w:val="51"/>
        <w:widowControl w:val="0"/>
        <w:numPr>
          <w:ilvl w:val="1"/>
          <w:numId w:val="15"/>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4D85C9F4">
      <w:pPr>
        <w:pStyle w:val="51"/>
        <w:widowControl w:val="0"/>
        <w:numPr>
          <w:ilvl w:val="1"/>
          <w:numId w:val="15"/>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7DDCAFA2">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7ABF93D4">
      <w:pPr>
        <w:pStyle w:val="51"/>
        <w:widowControl w:val="0"/>
        <w:numPr>
          <w:ilvl w:val="1"/>
          <w:numId w:val="13"/>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71270577">
      <w:pPr>
        <w:pStyle w:val="55"/>
        <w:numPr>
          <w:ilvl w:val="2"/>
          <w:numId w:val="13"/>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3667244F">
      <w:pPr>
        <w:pStyle w:val="55"/>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6B45BE8">
      <w:pPr>
        <w:pStyle w:val="55"/>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7BAAF489">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142367DA">
      <w:pPr>
        <w:pStyle w:val="166"/>
        <w:numPr>
          <w:ilvl w:val="2"/>
          <w:numId w:val="13"/>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736A7A4E">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1368FFF7">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62AB86FF">
      <w:pPr>
        <w:pStyle w:val="166"/>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0C60F0F6">
      <w:pPr>
        <w:pStyle w:val="166"/>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F54B4FA">
      <w:pPr>
        <w:pStyle w:val="165"/>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3404E93D">
      <w:pPr>
        <w:pStyle w:val="165"/>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1" w:name="cadastro_reserva"/>
      <w:bookmarkEnd w:id="121"/>
    </w:p>
    <w:p w14:paraId="6A043426">
      <w:pPr>
        <w:pStyle w:val="166"/>
        <w:numPr>
          <w:ilvl w:val="2"/>
          <w:numId w:val="13"/>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71236F20">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114CF9EE">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4F7C16CF">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22" w:name="habilitacao_reserva"/>
      <w:bookmarkEnd w:id="122"/>
    </w:p>
    <w:p w14:paraId="7D7D26A4">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43DB8102">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26E49FEC">
      <w:pPr>
        <w:pStyle w:val="51"/>
        <w:numPr>
          <w:ilvl w:val="1"/>
          <w:numId w:val="13"/>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3402C692">
      <w:pPr>
        <w:pStyle w:val="51"/>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2C331D2">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FD03630">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0F120BE9">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23" w:name="recusa_dos_que_baixaram_preco"/>
      <w:bookmarkEnd w:id="123"/>
    </w:p>
    <w:p w14:paraId="5B96885C">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280105B4">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79F3199B">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581F3651">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141DDF9">
      <w:pPr>
        <w:pStyle w:val="51"/>
        <w:autoSpaceDE w:val="0"/>
        <w:autoSpaceDN w:val="0"/>
        <w:adjustRightInd w:val="0"/>
        <w:spacing w:line="360" w:lineRule="auto"/>
        <w:ind w:left="284"/>
        <w:rPr>
          <w:rFonts w:asciiTheme="minorHAnsi" w:hAnsiTheme="minorHAnsi" w:cstheme="minorHAnsi"/>
        </w:rPr>
      </w:pPr>
    </w:p>
    <w:p w14:paraId="3619C40D">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0D7972D7">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2AA66593">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ED94B2">
      <w:pPr>
        <w:pStyle w:val="166"/>
        <w:numPr>
          <w:ilvl w:val="2"/>
          <w:numId w:val="13"/>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79047F8F">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14046831">
      <w:pPr>
        <w:pStyle w:val="165"/>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63D1024D">
      <w:pPr>
        <w:pStyle w:val="165"/>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24F789FE">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41EB78D7">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46D03304">
      <w:pPr>
        <w:pStyle w:val="166"/>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2CBDC0C4">
      <w:pPr>
        <w:pStyle w:val="166"/>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86FCFAE">
      <w:pPr>
        <w:pStyle w:val="166"/>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24" w:name="reducao_preco_mercado_negociacao_frustra"/>
      <w:bookmarkEnd w:id="124"/>
    </w:p>
    <w:p w14:paraId="4A7AC97A">
      <w:pPr>
        <w:pStyle w:val="166"/>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30CAD83">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5" w:name="hipotese_preco_mercado_maior"/>
      <w:bookmarkEnd w:id="125"/>
    </w:p>
    <w:p w14:paraId="64B7940C">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26" w:name="prova_preco_mercado_maior"/>
      <w:bookmarkEnd w:id="126"/>
    </w:p>
    <w:p w14:paraId="27B01E0E">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27" w:name="nao_comprovacao_majoracao_mercado"/>
      <w:bookmarkEnd w:id="127"/>
    </w:p>
    <w:p w14:paraId="65941854">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1F9A218C">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28" w:name="majora_preco_mercado_negociacao_frustra"/>
      <w:bookmarkEnd w:id="128"/>
    </w:p>
    <w:p w14:paraId="6B862629">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046DD171">
      <w:pPr>
        <w:pStyle w:val="166"/>
        <w:numPr>
          <w:ilvl w:val="2"/>
          <w:numId w:val="13"/>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1517E651">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08FF826F">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0E000B84">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5217C145">
      <w:pPr>
        <w:pStyle w:val="166"/>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29B5B2F">
      <w:pPr>
        <w:pStyle w:val="166"/>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D837DA1">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29" w:name="gerenciador_estimador_é_partic_em_remane"/>
      <w:bookmarkEnd w:id="129"/>
    </w:p>
    <w:p w14:paraId="585FD951">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0C6B4295">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3055053">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F8C3AD9">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36D36F3B">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0" w:name="cancelamento"/>
      <w:bookmarkEnd w:id="130"/>
    </w:p>
    <w:p w14:paraId="69873286">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1" w:name="cancelamento_do_fornecedor"/>
      <w:bookmarkEnd w:id="131"/>
    </w:p>
    <w:p w14:paraId="0B348F73">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FC2A1BB">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3E22C70C">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56EE9D02">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DB83D40">
      <w:pPr>
        <w:pStyle w:val="165"/>
        <w:numPr>
          <w:ilvl w:val="3"/>
          <w:numId w:val="13"/>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C204815">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0ECBA4BA">
      <w:pPr>
        <w:pStyle w:val="51"/>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20E6D527">
      <w:pPr>
        <w:pStyle w:val="51"/>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32" w:name="cancelamento_da_ata"/>
      <w:bookmarkEnd w:id="132"/>
      <w:r>
        <w:rPr>
          <w:rFonts w:asciiTheme="minorHAnsi" w:hAnsiTheme="minorHAnsi" w:cstheme="minorHAnsi"/>
        </w:rPr>
        <w:t xml:space="preserve"> </w:t>
      </w:r>
    </w:p>
    <w:p w14:paraId="2CE40637">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01C9E6DA">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3438D5B7">
      <w:pPr>
        <w:pStyle w:val="166"/>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47154672">
      <w:pPr>
        <w:pStyle w:val="166"/>
        <w:numPr>
          <w:ilvl w:val="0"/>
          <w:numId w:val="0"/>
        </w:numPr>
        <w:tabs>
          <w:tab w:val="left" w:pos="851"/>
        </w:tabs>
        <w:spacing w:line="360" w:lineRule="auto"/>
        <w:ind w:left="284"/>
        <w:rPr>
          <w:rFonts w:asciiTheme="minorHAnsi" w:hAnsiTheme="minorHAnsi" w:cstheme="minorHAnsi"/>
          <w:color w:val="auto"/>
          <w:sz w:val="22"/>
          <w:szCs w:val="22"/>
        </w:rPr>
      </w:pPr>
    </w:p>
    <w:p w14:paraId="7CFA8948">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7D474B86">
      <w:pPr>
        <w:pStyle w:val="51"/>
        <w:numPr>
          <w:ilvl w:val="1"/>
          <w:numId w:val="13"/>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5C8E1AF7">
      <w:pPr>
        <w:pStyle w:val="166"/>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72F2954C">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94CD118">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47AA348F">
      <w:pPr>
        <w:pStyle w:val="65"/>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0339DD31">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41DED723">
      <w:pPr>
        <w:pStyle w:val="51"/>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74B8A18D">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14E58CF5">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11EED4A9">
      <w:pPr>
        <w:ind w:left="284"/>
        <w:jc w:val="both"/>
        <w:rPr>
          <w:rFonts w:cstheme="minorHAnsi"/>
          <w:bCs/>
        </w:rPr>
      </w:pPr>
      <w:r>
        <w:rPr>
          <w:rFonts w:cstheme="minorHAnsi"/>
          <w:bCs/>
        </w:rPr>
        <w:t>____________________________________________________</w:t>
      </w:r>
    </w:p>
    <w:p w14:paraId="541F015C">
      <w:pPr>
        <w:ind w:left="284"/>
        <w:jc w:val="both"/>
        <w:rPr>
          <w:rFonts w:cstheme="minorHAnsi"/>
          <w:bCs/>
        </w:rPr>
      </w:pPr>
      <w:r>
        <w:rPr>
          <w:rFonts w:cstheme="minorHAnsi"/>
          <w:bCs/>
        </w:rPr>
        <w:t>DEBORAH LANDULFO MEDRADO DE VINHAES TORRES</w:t>
      </w:r>
    </w:p>
    <w:p w14:paraId="4940EAC6">
      <w:pPr>
        <w:ind w:left="284"/>
        <w:jc w:val="both"/>
        <w:rPr>
          <w:rFonts w:cstheme="minorHAnsi"/>
          <w:bCs/>
        </w:rPr>
      </w:pPr>
      <w:r>
        <w:rPr>
          <w:rFonts w:cstheme="minorHAnsi"/>
          <w:bCs/>
        </w:rPr>
        <w:t>Ordenador(a) de Despesa Substituto(a)</w:t>
      </w:r>
    </w:p>
    <w:p w14:paraId="39F359B3">
      <w:pPr>
        <w:ind w:left="284"/>
        <w:jc w:val="both"/>
        <w:rPr>
          <w:rFonts w:cstheme="minorHAnsi"/>
          <w:bCs/>
        </w:rPr>
      </w:pPr>
    </w:p>
    <w:p w14:paraId="1553A6EC">
      <w:pPr>
        <w:ind w:left="284"/>
        <w:jc w:val="both"/>
        <w:rPr>
          <w:rFonts w:cstheme="minorHAnsi"/>
          <w:bCs/>
        </w:rPr>
      </w:pPr>
    </w:p>
    <w:p w14:paraId="5EDF6772">
      <w:pPr>
        <w:ind w:left="284"/>
        <w:jc w:val="both"/>
        <w:rPr>
          <w:rFonts w:cstheme="minorHAnsi"/>
        </w:rPr>
      </w:pPr>
      <w:r>
        <w:rPr>
          <w:rFonts w:cstheme="minorHAnsi"/>
        </w:rPr>
        <w:t>_________________________________</w:t>
      </w:r>
    </w:p>
    <w:p w14:paraId="664E0D9C">
      <w:pPr>
        <w:ind w:left="284"/>
        <w:jc w:val="both"/>
        <w:rPr>
          <w:rFonts w:cstheme="minorHAnsi"/>
          <w:b/>
          <w:color w:val="000000"/>
          <w:u w:val="single"/>
        </w:rPr>
      </w:pPr>
      <w:r>
        <w:rPr>
          <w:rFonts w:cstheme="minorHAnsi"/>
        </w:rPr>
        <w:t>Representante da Empresa</w:t>
      </w:r>
    </w:p>
    <w:p w14:paraId="027693F9">
      <w:pPr>
        <w:widowControl w:val="0"/>
        <w:autoSpaceDE w:val="0"/>
        <w:autoSpaceDN w:val="0"/>
        <w:adjustRightInd w:val="0"/>
        <w:spacing w:line="360" w:lineRule="auto"/>
        <w:ind w:left="284" w:right="-30"/>
        <w:jc w:val="center"/>
        <w:rPr>
          <w:rFonts w:cstheme="minorHAnsi"/>
          <w:b/>
          <w:color w:val="000000"/>
          <w:u w:val="single"/>
        </w:rPr>
      </w:pPr>
    </w:p>
    <w:p w14:paraId="15C05A3D">
      <w:pPr>
        <w:widowControl w:val="0"/>
        <w:autoSpaceDE w:val="0"/>
        <w:autoSpaceDN w:val="0"/>
        <w:adjustRightInd w:val="0"/>
        <w:spacing w:line="360" w:lineRule="auto"/>
        <w:ind w:left="284" w:right="-30"/>
        <w:jc w:val="center"/>
        <w:rPr>
          <w:rFonts w:cstheme="minorHAnsi"/>
          <w:b/>
          <w:color w:val="000000"/>
          <w:u w:val="single"/>
        </w:rPr>
      </w:pPr>
    </w:p>
    <w:p w14:paraId="179BDF1E">
      <w:pPr>
        <w:widowControl w:val="0"/>
        <w:autoSpaceDE w:val="0"/>
        <w:autoSpaceDN w:val="0"/>
        <w:adjustRightInd w:val="0"/>
        <w:spacing w:line="360" w:lineRule="auto"/>
        <w:ind w:left="284" w:right="-30"/>
        <w:jc w:val="center"/>
        <w:rPr>
          <w:rFonts w:cstheme="minorHAnsi"/>
          <w:b/>
          <w:color w:val="000000"/>
          <w:u w:val="single"/>
        </w:rPr>
      </w:pPr>
    </w:p>
    <w:p w14:paraId="52171CCB">
      <w:pPr>
        <w:widowControl w:val="0"/>
        <w:autoSpaceDE w:val="0"/>
        <w:autoSpaceDN w:val="0"/>
        <w:adjustRightInd w:val="0"/>
        <w:spacing w:line="360" w:lineRule="auto"/>
        <w:ind w:left="284" w:right="-30"/>
        <w:jc w:val="center"/>
        <w:rPr>
          <w:rFonts w:cstheme="minorHAnsi"/>
          <w:b/>
          <w:color w:val="000000"/>
          <w:u w:val="single"/>
        </w:rPr>
      </w:pPr>
    </w:p>
    <w:p w14:paraId="74E67110">
      <w:pPr>
        <w:widowControl w:val="0"/>
        <w:autoSpaceDE w:val="0"/>
        <w:autoSpaceDN w:val="0"/>
        <w:adjustRightInd w:val="0"/>
        <w:spacing w:line="360" w:lineRule="auto"/>
        <w:ind w:left="284" w:right="-30"/>
        <w:jc w:val="center"/>
        <w:rPr>
          <w:rFonts w:cstheme="minorHAnsi"/>
          <w:b/>
          <w:color w:val="000000"/>
          <w:u w:val="single"/>
        </w:rPr>
      </w:pPr>
    </w:p>
    <w:p w14:paraId="330A8B75">
      <w:pPr>
        <w:widowControl w:val="0"/>
        <w:autoSpaceDE w:val="0"/>
        <w:autoSpaceDN w:val="0"/>
        <w:adjustRightInd w:val="0"/>
        <w:spacing w:line="360" w:lineRule="auto"/>
        <w:ind w:left="284" w:right="-30"/>
        <w:jc w:val="center"/>
        <w:rPr>
          <w:rFonts w:cstheme="minorHAnsi"/>
          <w:b/>
          <w:color w:val="000000"/>
          <w:u w:val="single"/>
        </w:rPr>
      </w:pPr>
    </w:p>
    <w:p w14:paraId="2D93C48E">
      <w:pPr>
        <w:widowControl w:val="0"/>
        <w:autoSpaceDE w:val="0"/>
        <w:autoSpaceDN w:val="0"/>
        <w:adjustRightInd w:val="0"/>
        <w:spacing w:line="360" w:lineRule="auto"/>
        <w:ind w:left="284" w:right="-30"/>
        <w:jc w:val="center"/>
        <w:rPr>
          <w:rFonts w:cstheme="minorHAnsi"/>
          <w:b/>
          <w:color w:val="000000"/>
          <w:u w:val="single"/>
        </w:rPr>
      </w:pPr>
    </w:p>
    <w:p w14:paraId="636E6FE3">
      <w:pPr>
        <w:widowControl w:val="0"/>
        <w:autoSpaceDE w:val="0"/>
        <w:autoSpaceDN w:val="0"/>
        <w:adjustRightInd w:val="0"/>
        <w:spacing w:line="360" w:lineRule="auto"/>
        <w:ind w:left="284" w:right="-30"/>
        <w:jc w:val="center"/>
        <w:rPr>
          <w:rFonts w:cstheme="minorHAnsi"/>
          <w:b/>
          <w:color w:val="000000"/>
          <w:u w:val="single"/>
        </w:rPr>
      </w:pPr>
    </w:p>
    <w:p w14:paraId="2629508B">
      <w:pPr>
        <w:widowControl w:val="0"/>
        <w:autoSpaceDE w:val="0"/>
        <w:autoSpaceDN w:val="0"/>
        <w:adjustRightInd w:val="0"/>
        <w:spacing w:line="360" w:lineRule="auto"/>
        <w:ind w:left="284" w:right="-30"/>
        <w:jc w:val="center"/>
        <w:rPr>
          <w:rFonts w:cstheme="minorHAnsi"/>
          <w:b/>
          <w:color w:val="000000"/>
          <w:u w:val="single"/>
        </w:rPr>
      </w:pPr>
    </w:p>
    <w:p w14:paraId="07EA953B">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7226CA58">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0DFCCAD7">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714900F8">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0178C358">
            <w:pPr>
              <w:widowControl w:val="0"/>
              <w:autoSpaceDE w:val="0"/>
              <w:autoSpaceDN w:val="0"/>
              <w:adjustRightInd w:val="0"/>
              <w:spacing w:line="360" w:lineRule="auto"/>
              <w:ind w:left="284" w:right="-30"/>
              <w:jc w:val="center"/>
              <w:rPr>
                <w:rFonts w:cstheme="minorHAnsi"/>
              </w:rPr>
            </w:pPr>
            <w:r>
              <w:rPr>
                <w:rFonts w:cstheme="minorHAnsi"/>
              </w:rPr>
              <w:t>Item</w:t>
            </w:r>
          </w:p>
          <w:p w14:paraId="142FC3BA">
            <w:pPr>
              <w:widowControl w:val="0"/>
              <w:autoSpaceDE w:val="0"/>
              <w:autoSpaceDN w:val="0"/>
              <w:adjustRightInd w:val="0"/>
              <w:spacing w:line="360" w:lineRule="auto"/>
              <w:ind w:left="284" w:right="-30"/>
              <w:jc w:val="center"/>
              <w:rPr>
                <w:rFonts w:cstheme="minorHAnsi"/>
              </w:rPr>
            </w:pPr>
            <w:r>
              <w:rPr>
                <w:rFonts w:cstheme="minorHAnsi"/>
              </w:rPr>
              <w:t>do</w:t>
            </w:r>
          </w:p>
          <w:p w14:paraId="3FFD6962">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11AD832C">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26E3CB65">
            <w:pPr>
              <w:widowControl w:val="0"/>
              <w:autoSpaceDE w:val="0"/>
              <w:autoSpaceDN w:val="0"/>
              <w:adjustRightInd w:val="0"/>
              <w:spacing w:line="360" w:lineRule="auto"/>
              <w:ind w:left="284" w:right="-30"/>
              <w:jc w:val="center"/>
              <w:rPr>
                <w:rFonts w:cstheme="minorHAnsi"/>
              </w:rPr>
            </w:pPr>
          </w:p>
        </w:tc>
      </w:tr>
      <w:tr w14:paraId="00D1AE61">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3EB1149">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5343BCBA">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7A3FDC19">
            <w:pPr>
              <w:widowControl w:val="0"/>
              <w:autoSpaceDE w:val="0"/>
              <w:autoSpaceDN w:val="0"/>
              <w:adjustRightInd w:val="0"/>
              <w:spacing w:line="360" w:lineRule="auto"/>
              <w:ind w:right="-30"/>
              <w:jc w:val="center"/>
              <w:rPr>
                <w:rFonts w:cstheme="minorHAnsi"/>
                <w:iCs/>
              </w:rPr>
            </w:pPr>
            <w:r>
              <w:rPr>
                <w:rFonts w:cstheme="minorHAnsi"/>
                <w:iCs/>
              </w:rPr>
              <w:t>Marca</w:t>
            </w:r>
          </w:p>
          <w:p w14:paraId="5CFAD1C4">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6FB6702E">
            <w:pPr>
              <w:widowControl w:val="0"/>
              <w:autoSpaceDE w:val="0"/>
              <w:autoSpaceDN w:val="0"/>
              <w:adjustRightInd w:val="0"/>
              <w:spacing w:line="360" w:lineRule="auto"/>
              <w:ind w:right="-30"/>
              <w:jc w:val="center"/>
              <w:rPr>
                <w:rFonts w:cstheme="minorHAnsi"/>
                <w:iCs/>
              </w:rPr>
            </w:pPr>
            <w:r>
              <w:rPr>
                <w:rFonts w:cstheme="minorHAnsi"/>
                <w:iCs/>
              </w:rPr>
              <w:t>Modelo</w:t>
            </w:r>
          </w:p>
          <w:p w14:paraId="0652F884">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47AA92B7">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6BEE1C64">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187EEC2E">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67555850">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118C8970">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5A43B0DD">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4DE8FD5D">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0D4C3C73">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03576514">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3D5E18F2">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54493B3D">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657030AE">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579799E7">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6CA136C9">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01BFB0E6">
            <w:pPr>
              <w:widowControl w:val="0"/>
              <w:autoSpaceDE w:val="0"/>
              <w:autoSpaceDN w:val="0"/>
              <w:adjustRightInd w:val="0"/>
              <w:spacing w:line="360" w:lineRule="auto"/>
              <w:ind w:left="284" w:right="-30"/>
              <w:jc w:val="both"/>
              <w:rPr>
                <w:rFonts w:cstheme="minorHAnsi"/>
              </w:rPr>
            </w:pPr>
          </w:p>
        </w:tc>
      </w:tr>
    </w:tbl>
    <w:p w14:paraId="3B49EA3E">
      <w:pPr>
        <w:widowControl w:val="0"/>
        <w:autoSpaceDE w:val="0"/>
        <w:autoSpaceDN w:val="0"/>
        <w:adjustRightInd w:val="0"/>
        <w:spacing w:line="360" w:lineRule="auto"/>
        <w:ind w:left="284" w:right="-30"/>
        <w:jc w:val="center"/>
        <w:rPr>
          <w:rFonts w:cstheme="minorHAnsi"/>
          <w:color w:val="000000"/>
        </w:rPr>
      </w:pPr>
    </w:p>
    <w:p w14:paraId="6DDDB1AE">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216DFA94">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39B5DF55">
            <w:pPr>
              <w:widowControl w:val="0"/>
              <w:autoSpaceDE w:val="0"/>
              <w:autoSpaceDN w:val="0"/>
              <w:adjustRightInd w:val="0"/>
              <w:spacing w:line="360" w:lineRule="auto"/>
              <w:ind w:left="284" w:right="-30"/>
              <w:jc w:val="center"/>
              <w:rPr>
                <w:rFonts w:cstheme="minorHAnsi"/>
              </w:rPr>
            </w:pPr>
            <w:r>
              <w:rPr>
                <w:rFonts w:cstheme="minorHAnsi"/>
              </w:rPr>
              <w:t>Item</w:t>
            </w:r>
          </w:p>
          <w:p w14:paraId="69ECC41F">
            <w:pPr>
              <w:widowControl w:val="0"/>
              <w:autoSpaceDE w:val="0"/>
              <w:autoSpaceDN w:val="0"/>
              <w:adjustRightInd w:val="0"/>
              <w:spacing w:line="360" w:lineRule="auto"/>
              <w:ind w:left="284" w:right="-30"/>
              <w:jc w:val="center"/>
              <w:rPr>
                <w:rFonts w:cstheme="minorHAnsi"/>
              </w:rPr>
            </w:pPr>
            <w:r>
              <w:rPr>
                <w:rFonts w:cstheme="minorHAnsi"/>
              </w:rPr>
              <w:t>do</w:t>
            </w:r>
          </w:p>
          <w:p w14:paraId="65F0EE7E">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9A49B2">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16915EA2">
            <w:pPr>
              <w:widowControl w:val="0"/>
              <w:autoSpaceDE w:val="0"/>
              <w:autoSpaceDN w:val="0"/>
              <w:adjustRightInd w:val="0"/>
              <w:spacing w:line="360" w:lineRule="auto"/>
              <w:ind w:left="284" w:right="-30"/>
              <w:jc w:val="center"/>
              <w:rPr>
                <w:rFonts w:cstheme="minorHAnsi"/>
              </w:rPr>
            </w:pPr>
          </w:p>
        </w:tc>
      </w:tr>
      <w:tr w14:paraId="6CBFD1ED">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3A9DF0C1">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750A7443">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026B503E">
            <w:pPr>
              <w:widowControl w:val="0"/>
              <w:autoSpaceDE w:val="0"/>
              <w:autoSpaceDN w:val="0"/>
              <w:adjustRightInd w:val="0"/>
              <w:spacing w:line="360" w:lineRule="auto"/>
              <w:ind w:right="-30"/>
              <w:jc w:val="center"/>
              <w:rPr>
                <w:rFonts w:cstheme="minorHAnsi"/>
              </w:rPr>
            </w:pPr>
            <w:r>
              <w:rPr>
                <w:rFonts w:cstheme="minorHAnsi"/>
              </w:rPr>
              <w:t>Marca</w:t>
            </w:r>
          </w:p>
          <w:p w14:paraId="7723C6A0">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71B1A030">
            <w:pPr>
              <w:widowControl w:val="0"/>
              <w:autoSpaceDE w:val="0"/>
              <w:autoSpaceDN w:val="0"/>
              <w:adjustRightInd w:val="0"/>
              <w:spacing w:line="360" w:lineRule="auto"/>
              <w:ind w:left="284" w:right="-30"/>
              <w:jc w:val="center"/>
              <w:rPr>
                <w:rFonts w:cstheme="minorHAnsi"/>
              </w:rPr>
            </w:pPr>
            <w:r>
              <w:rPr>
                <w:rFonts w:cstheme="minorHAnsi"/>
              </w:rPr>
              <w:t>Modelo</w:t>
            </w:r>
          </w:p>
          <w:p w14:paraId="6BCA401B">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46425F74">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3F657505">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71969513">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09BB3079">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0CF03D5D">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12C3544E">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6C78BE3D">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124CA33A">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48819C03">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7E7BF57F">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ADA7B6B">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572261D8">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1C3BAC7E">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68033191">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2F2B0822">
            <w:pPr>
              <w:widowControl w:val="0"/>
              <w:autoSpaceDE w:val="0"/>
              <w:autoSpaceDN w:val="0"/>
              <w:adjustRightInd w:val="0"/>
              <w:spacing w:line="360" w:lineRule="auto"/>
              <w:ind w:left="284" w:right="-30"/>
              <w:jc w:val="both"/>
              <w:rPr>
                <w:rFonts w:cstheme="minorHAnsi"/>
              </w:rPr>
            </w:pPr>
          </w:p>
        </w:tc>
      </w:tr>
    </w:tbl>
    <w:p w14:paraId="29000496">
      <w:pPr>
        <w:spacing w:line="360" w:lineRule="auto"/>
        <w:ind w:left="284"/>
        <w:jc w:val="center"/>
        <w:rPr>
          <w:rFonts w:cstheme="minorHAnsi"/>
          <w:b/>
          <w:u w:val="single"/>
        </w:rPr>
      </w:pPr>
    </w:p>
    <w:p w14:paraId="2F31A3A0">
      <w:pPr>
        <w:spacing w:line="360" w:lineRule="auto"/>
        <w:ind w:left="284"/>
        <w:jc w:val="center"/>
        <w:rPr>
          <w:rFonts w:cstheme="minorHAnsi"/>
          <w:b/>
          <w:u w:val="single"/>
        </w:rPr>
      </w:pPr>
    </w:p>
    <w:p w14:paraId="3540F942">
      <w:pPr>
        <w:spacing w:line="360" w:lineRule="auto"/>
        <w:ind w:left="284"/>
        <w:jc w:val="center"/>
        <w:rPr>
          <w:rFonts w:cstheme="minorHAnsi"/>
          <w:b/>
          <w:u w:val="single"/>
        </w:rPr>
      </w:pPr>
    </w:p>
    <w:p w14:paraId="4186F5E1">
      <w:pPr>
        <w:spacing w:line="360" w:lineRule="auto"/>
        <w:jc w:val="center"/>
        <w:rPr>
          <w:rFonts w:cstheme="minorHAnsi"/>
        </w:rPr>
      </w:pPr>
      <w:r>
        <w:rPr>
          <w:rFonts w:cstheme="minorHAnsi"/>
          <w:b/>
          <w:u w:val="single"/>
        </w:rPr>
        <w:t>ANEXO V</w:t>
      </w:r>
    </w:p>
    <w:p w14:paraId="51856938">
      <w:pPr>
        <w:spacing w:line="360" w:lineRule="auto"/>
        <w:ind w:right="-91"/>
        <w:jc w:val="center"/>
        <w:rPr>
          <w:rFonts w:cstheme="minorHAnsi"/>
          <w:b/>
          <w:u w:val="single"/>
        </w:rPr>
      </w:pPr>
      <w:r>
        <w:rPr>
          <w:rFonts w:cstheme="minorHAnsi"/>
          <w:b/>
          <w:u w:val="single"/>
        </w:rPr>
        <w:t xml:space="preserve">MODELO DE CADASTRO PARA ASSINATURA DE </w:t>
      </w:r>
    </w:p>
    <w:p w14:paraId="363CD284">
      <w:pPr>
        <w:spacing w:line="360" w:lineRule="auto"/>
        <w:ind w:right="-91"/>
        <w:jc w:val="center"/>
        <w:rPr>
          <w:rFonts w:cstheme="minorHAnsi"/>
          <w:b/>
          <w:u w:val="single"/>
        </w:rPr>
      </w:pPr>
      <w:r>
        <w:rPr>
          <w:rFonts w:cstheme="minorHAnsi"/>
          <w:b/>
          <w:u w:val="single"/>
        </w:rPr>
        <w:t>ATA DE REGISTRO DE PREÇOS E RECEBIMENTO DE EMPENHO</w:t>
      </w:r>
    </w:p>
    <w:p w14:paraId="39694622">
      <w:pPr>
        <w:spacing w:line="360" w:lineRule="auto"/>
        <w:ind w:left="284"/>
        <w:rPr>
          <w:rFonts w:cstheme="minorHAnsi"/>
        </w:rPr>
      </w:pPr>
    </w:p>
    <w:p w14:paraId="62A97A0E">
      <w:pPr>
        <w:spacing w:line="360" w:lineRule="auto"/>
        <w:ind w:left="284"/>
        <w:rPr>
          <w:rFonts w:cstheme="minorHAnsi"/>
        </w:rPr>
      </w:pPr>
      <w:r>
        <w:rPr>
          <w:rFonts w:cstheme="minorHAnsi"/>
        </w:rPr>
        <w:t>(Timbre da empresa)</w:t>
      </w:r>
    </w:p>
    <w:p w14:paraId="4908B060">
      <w:pPr>
        <w:spacing w:line="360" w:lineRule="auto"/>
        <w:ind w:left="284"/>
        <w:rPr>
          <w:rFonts w:cstheme="minorHAnsi"/>
        </w:rPr>
      </w:pPr>
      <w:r>
        <w:rPr>
          <w:rFonts w:cstheme="minorHAnsi"/>
        </w:rPr>
        <w:t>(Número e ano da licitação)</w:t>
      </w:r>
    </w:p>
    <w:p w14:paraId="7AD5C89A">
      <w:pPr>
        <w:spacing w:line="360" w:lineRule="auto"/>
        <w:ind w:left="284"/>
        <w:rPr>
          <w:rFonts w:cstheme="minorHAnsi"/>
        </w:rPr>
      </w:pPr>
    </w:p>
    <w:p w14:paraId="7D0DD6E3">
      <w:pPr>
        <w:spacing w:line="240" w:lineRule="auto"/>
        <w:ind w:left="284"/>
        <w:jc w:val="both"/>
        <w:rPr>
          <w:rFonts w:cstheme="minorHAnsi"/>
        </w:rPr>
      </w:pPr>
      <w:r>
        <w:rPr>
          <w:rFonts w:cstheme="minorHAnsi"/>
        </w:rPr>
        <w:t>NOME: ____________________________________________________________________</w:t>
      </w:r>
    </w:p>
    <w:p w14:paraId="76879548">
      <w:pPr>
        <w:spacing w:line="240" w:lineRule="auto"/>
        <w:ind w:left="284"/>
        <w:jc w:val="both"/>
        <w:rPr>
          <w:rFonts w:cstheme="minorHAnsi"/>
        </w:rPr>
      </w:pPr>
      <w:r>
        <w:rPr>
          <w:rFonts w:cstheme="minorHAnsi"/>
        </w:rPr>
        <w:t>CARGO: ___________________________________________________________________</w:t>
      </w:r>
    </w:p>
    <w:p w14:paraId="5B4164D3">
      <w:pPr>
        <w:spacing w:line="240" w:lineRule="auto"/>
        <w:ind w:left="284"/>
        <w:jc w:val="both"/>
        <w:rPr>
          <w:rFonts w:cstheme="minorHAnsi"/>
        </w:rPr>
      </w:pPr>
      <w:r>
        <w:rPr>
          <w:rFonts w:cstheme="minorHAnsi"/>
        </w:rPr>
        <w:t>TELEFONECOMERCIAL: ___________________CELULAR: _______________________</w:t>
      </w:r>
    </w:p>
    <w:p w14:paraId="68821D86">
      <w:pPr>
        <w:spacing w:line="240" w:lineRule="auto"/>
        <w:ind w:left="284"/>
        <w:jc w:val="both"/>
        <w:rPr>
          <w:rFonts w:cstheme="minorHAnsi"/>
        </w:rPr>
      </w:pPr>
      <w:r>
        <w:rPr>
          <w:rFonts w:cstheme="minorHAnsi"/>
        </w:rPr>
        <w:t>E-MAIL: ___________________________________________________________________</w:t>
      </w:r>
    </w:p>
    <w:p w14:paraId="7B684B16">
      <w:pPr>
        <w:spacing w:line="240" w:lineRule="auto"/>
        <w:ind w:left="284"/>
        <w:jc w:val="both"/>
        <w:rPr>
          <w:rFonts w:cstheme="minorHAnsi"/>
        </w:rPr>
      </w:pPr>
      <w:r>
        <w:rPr>
          <w:rFonts w:cstheme="minorHAnsi"/>
        </w:rPr>
        <w:t>Nº IDENTIDADE: _______, ORGÃO EMISSOR: __________Nº CPF: ________________</w:t>
      </w:r>
    </w:p>
    <w:p w14:paraId="0101C1E6">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351F0C28">
      <w:pPr>
        <w:spacing w:line="240" w:lineRule="auto"/>
        <w:ind w:left="284"/>
        <w:jc w:val="both"/>
        <w:rPr>
          <w:rFonts w:cstheme="minorHAnsi"/>
        </w:rPr>
      </w:pPr>
      <w:r>
        <w:rPr>
          <w:rFonts w:cstheme="minorHAnsi"/>
        </w:rPr>
        <w:t>NACIONALIDADE: ________________________ESTADO CIVIL: ___________________</w:t>
      </w:r>
    </w:p>
    <w:p w14:paraId="3FA6A77F">
      <w:pPr>
        <w:spacing w:line="240" w:lineRule="auto"/>
        <w:ind w:left="284"/>
        <w:jc w:val="both"/>
        <w:rPr>
          <w:rFonts w:cstheme="minorHAnsi"/>
        </w:rPr>
      </w:pPr>
      <w:r>
        <w:rPr>
          <w:rFonts w:cstheme="minorHAnsi"/>
        </w:rPr>
        <w:t>Município, _______ DE ___________________ DE ___________.</w:t>
      </w:r>
    </w:p>
    <w:p w14:paraId="6813D21D">
      <w:pPr>
        <w:spacing w:line="240" w:lineRule="auto"/>
        <w:ind w:left="284"/>
        <w:jc w:val="both"/>
        <w:rPr>
          <w:rFonts w:cstheme="minorHAnsi"/>
        </w:rPr>
      </w:pPr>
      <w:r>
        <w:rPr>
          <w:rFonts w:cstheme="minorHAnsi"/>
        </w:rPr>
        <w:t>_________________________________________________</w:t>
      </w:r>
    </w:p>
    <w:p w14:paraId="03DAB2D9">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2CB1C891">
      <w:pPr>
        <w:tabs>
          <w:tab w:val="left" w:pos="6681"/>
        </w:tabs>
        <w:spacing w:line="240" w:lineRule="auto"/>
        <w:ind w:left="284"/>
        <w:rPr>
          <w:rFonts w:cstheme="minorHAnsi"/>
        </w:rPr>
      </w:pPr>
    </w:p>
    <w:p w14:paraId="4C880DCC">
      <w:pPr>
        <w:tabs>
          <w:tab w:val="left" w:pos="6681"/>
        </w:tabs>
        <w:spacing w:line="240" w:lineRule="auto"/>
        <w:ind w:left="284"/>
        <w:rPr>
          <w:rFonts w:cstheme="minorHAnsi"/>
        </w:rPr>
      </w:pPr>
      <w:r>
        <w:rPr>
          <w:rFonts w:cstheme="minorHAnsi"/>
        </w:rPr>
        <w:t xml:space="preserve">OBS: </w:t>
      </w:r>
    </w:p>
    <w:p w14:paraId="59B6CD2F">
      <w:pPr>
        <w:numPr>
          <w:ilvl w:val="0"/>
          <w:numId w:val="16"/>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51506BF5">
      <w:pPr>
        <w:numPr>
          <w:ilvl w:val="0"/>
          <w:numId w:val="16"/>
        </w:numPr>
        <w:tabs>
          <w:tab w:val="left" w:pos="709"/>
        </w:tabs>
        <w:spacing w:after="0" w:line="240" w:lineRule="auto"/>
        <w:ind w:left="284" w:firstLine="0"/>
        <w:rPr>
          <w:rFonts w:cstheme="minorHAnsi"/>
        </w:rPr>
      </w:pPr>
      <w:r>
        <w:rPr>
          <w:rFonts w:cstheme="minorHAnsi"/>
        </w:rPr>
        <w:t>Anexar cópia autenticada do contrato social.</w:t>
      </w:r>
    </w:p>
    <w:p w14:paraId="6C83933D">
      <w:pPr>
        <w:numPr>
          <w:ilvl w:val="0"/>
          <w:numId w:val="16"/>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565FA016">
      <w:pPr>
        <w:numPr>
          <w:ilvl w:val="0"/>
          <w:numId w:val="16"/>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528B2231">
      <w:pPr>
        <w:numPr>
          <w:ilvl w:val="0"/>
          <w:numId w:val="16"/>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p w14:paraId="70341437">
      <w:pPr>
        <w:numPr>
          <w:ilvl w:val="0"/>
          <w:numId w:val="16"/>
        </w:numPr>
        <w:tabs>
          <w:tab w:val="left" w:pos="709"/>
        </w:tabs>
        <w:spacing w:after="0" w:line="240" w:lineRule="auto"/>
        <w:ind w:left="284" w:right="474" w:firstLine="0"/>
        <w:jc w:val="both"/>
        <w:rPr>
          <w:rFonts w:cstheme="minorHAnsi"/>
          <w:b/>
        </w:rPr>
      </w:pPr>
    </w:p>
    <w:sectPr>
      <w:headerReference r:id="rId7" w:type="default"/>
      <w:footerReference r:id="rId8"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Segoe Print"/>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Liberation Mono"/>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Zurich BT">
    <w:altName w:val="Liberation Mono"/>
    <w:panose1 w:val="00000000000000000000"/>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1FDB9">
    <w:pPr>
      <w:pStyle w:val="33"/>
      <w:jc w:val="right"/>
    </w:pPr>
  </w:p>
  <w:p w14:paraId="4F3F3281">
    <w:pPr>
      <w:pStyle w:val="33"/>
      <w:rPr>
        <w:rFonts w:ascii="Arial" w:hAnsi="Arial"/>
        <w:sz w:val="14"/>
      </w:rPr>
    </w:pPr>
    <w:r>
      <w:rPr>
        <w:rFonts w:ascii="Arial" w:hAnsi="Arial"/>
        <w:sz w:val="14"/>
      </w:rPr>
      <w:t>Câmara Nacional de Modelos de Licitações e Contratos da Consultoria-Geral da União</w:t>
    </w:r>
  </w:p>
  <w:p w14:paraId="65E9A435">
    <w:pPr>
      <w:pStyle w:val="33"/>
      <w:rPr>
        <w:rFonts w:ascii="Arial" w:hAnsi="Arial"/>
        <w:color w:val="222A35" w:themeColor="text2" w:themeShade="80"/>
        <w:sz w:val="14"/>
      </w:rPr>
    </w:pPr>
    <w:r>
      <w:rPr>
        <w:rFonts w:ascii="Arial" w:hAnsi="Arial" w:cs="Arial"/>
        <w:sz w:val="14"/>
        <w:szCs w:val="14"/>
      </w:rPr>
      <w:t xml:space="preserve">Modelo de </w:t>
    </w:r>
    <w:r>
      <w:rPr>
        <w:rFonts w:ascii="Arial" w:hAnsi="Arial"/>
        <w:sz w:val="14"/>
      </w:rPr>
      <w:t xml:space="preserve">Termo de Referência – Aquisições </w:t>
    </w:r>
    <w:r>
      <w:rPr>
        <w:rFonts w:ascii="Arial" w:hAnsi="Arial" w:cs="Arial"/>
        <w:sz w:val="14"/>
        <w:szCs w:val="14"/>
      </w:rPr>
      <w:t>– Licitação e Contratação Direta - Lei nº 14.133, de 2021</w:t>
    </w:r>
  </w:p>
  <w:p w14:paraId="49D241B4">
    <w:pPr>
      <w:pStyle w:val="33"/>
      <w:rPr>
        <w:rFonts w:ascii="Arial" w:hAnsi="Arial"/>
        <w:sz w:val="14"/>
      </w:rPr>
    </w:pPr>
    <w:r>
      <w:rPr>
        <w:rFonts w:ascii="Arial" w:hAnsi="Arial"/>
        <w:sz w:val="14"/>
      </w:rPr>
      <w:t>Aprovado pela Secretaria de Gestão</w:t>
    </w:r>
    <w:r>
      <w:rPr>
        <w:rFonts w:ascii="Arial" w:hAnsi="Arial" w:cs="Arial"/>
        <w:sz w:val="14"/>
        <w:szCs w:val="14"/>
      </w:rPr>
      <w:t xml:space="preserve"> e Inovação</w:t>
    </w:r>
  </w:p>
  <w:p w14:paraId="765946D3">
    <w:pPr>
      <w:pStyle w:val="33"/>
      <w:rPr>
        <w:rFonts w:ascii="Arial" w:hAnsi="Arial"/>
        <w:sz w:val="14"/>
      </w:rPr>
    </w:pPr>
    <w:r>
      <w:rPr>
        <w:rFonts w:ascii="Arial" w:hAnsi="Arial"/>
        <w:sz w:val="14"/>
      </w:rPr>
      <w:t xml:space="preserve">Identidade visual pela Secretaria de Gestão </w:t>
    </w:r>
    <w:r>
      <w:rPr>
        <w:rFonts w:ascii="Arial" w:hAnsi="Arial" w:cs="Arial"/>
        <w:sz w:val="14"/>
        <w:szCs w:val="14"/>
      </w:rPr>
      <w:t>e Inovação</w:t>
    </w:r>
  </w:p>
  <w:p w14:paraId="5B263585">
    <w:pPr>
      <w:pStyle w:val="33"/>
      <w:rPr>
        <w:rFonts w:ascii="Arial" w:hAnsi="Arial" w:cs="Arial"/>
        <w:sz w:val="14"/>
        <w:szCs w:val="14"/>
      </w:rPr>
    </w:pPr>
    <w:r>
      <w:rPr>
        <w:rFonts w:ascii="Arial" w:hAnsi="Arial" w:cs="Arial"/>
        <w:sz w:val="14"/>
        <w:szCs w:val="14"/>
      </w:rPr>
      <w:t>Atualização: DEZ/2025</w:t>
    </w:r>
  </w:p>
  <w:p w14:paraId="0277F3FD">
    <w:pPr>
      <w:pStyle w:val="33"/>
    </w:pPr>
    <w:r>
      <w:rPr>
        <w:rFonts w:ascii="Arial" w:hAnsi="Arial" w:cs="Arial"/>
        <w:sz w:val="14"/>
        <w:szCs w:val="14"/>
      </w:rPr>
      <w:t>Pregão nº 90037/2026. Processo nº 23066.014123/2026-14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83A75">
    <w:pPr>
      <w:pStyle w:val="33"/>
      <w:rPr>
        <w:rFonts w:ascii="Arial" w:hAnsi="Arial" w:cs="Arial"/>
        <w:sz w:val="14"/>
        <w:szCs w:val="14"/>
      </w:rPr>
    </w:pPr>
    <w:r>
      <w:rPr>
        <w:rFonts w:ascii="Arial" w:hAnsi="Arial" w:cs="Arial"/>
        <w:sz w:val="14"/>
        <w:szCs w:val="14"/>
      </w:rPr>
      <w:t>Câmara Nacional de Modelos de Licitações e Contratos da Consultoria-Geral da União</w:t>
    </w:r>
  </w:p>
  <w:p w14:paraId="69F2A596">
    <w:pPr>
      <w:pStyle w:val="33"/>
      <w:rPr>
        <w:rFonts w:ascii="Arial" w:hAnsi="Arial" w:cs="Arial"/>
        <w:sz w:val="14"/>
        <w:szCs w:val="14"/>
      </w:rPr>
    </w:pPr>
    <w:r>
      <w:rPr>
        <w:rFonts w:ascii="Arial" w:hAnsi="Arial" w:cs="Arial"/>
        <w:sz w:val="14"/>
        <w:szCs w:val="14"/>
      </w:rPr>
      <w:t xml:space="preserve">Modelo de Edital </w:t>
    </w:r>
    <w:bookmarkStart w:id="133" w:name="_Hlk135299681"/>
    <w:r>
      <w:rPr>
        <w:rFonts w:ascii="Arial" w:hAnsi="Arial" w:cs="Arial"/>
        <w:sz w:val="14"/>
        <w:szCs w:val="14"/>
      </w:rPr>
      <w:t>- Lei nº 14.133, de 2021.</w:t>
    </w:r>
    <w:bookmarkEnd w:id="133"/>
  </w:p>
  <w:p w14:paraId="2F91BC72">
    <w:pPr>
      <w:pStyle w:val="33"/>
      <w:rPr>
        <w:rFonts w:ascii="Arial" w:hAnsi="Arial" w:cs="Arial"/>
        <w:sz w:val="14"/>
        <w:szCs w:val="14"/>
      </w:rPr>
    </w:pPr>
    <w:bookmarkStart w:id="134" w:name="_Hlk135299703"/>
    <w:r>
      <w:rPr>
        <w:rFonts w:ascii="Arial" w:hAnsi="Arial" w:cs="Arial"/>
        <w:sz w:val="14"/>
        <w:szCs w:val="14"/>
      </w:rPr>
      <w:t>Aprovado pela Secretaria de Gestão e Inovação.</w:t>
    </w:r>
  </w:p>
  <w:p w14:paraId="35A44A9C">
    <w:pPr>
      <w:pStyle w:val="33"/>
      <w:rPr>
        <w:rFonts w:ascii="Arial" w:hAnsi="Arial" w:cs="Arial"/>
        <w:sz w:val="14"/>
        <w:szCs w:val="14"/>
      </w:rPr>
    </w:pPr>
    <w:r>
      <w:rPr>
        <w:rFonts w:ascii="Arial" w:hAnsi="Arial" w:cs="Arial"/>
        <w:sz w:val="14"/>
        <w:szCs w:val="14"/>
      </w:rPr>
      <w:t>Identidade visual pela Secretaria de Gestão e Inovação</w:t>
    </w:r>
  </w:p>
  <w:p w14:paraId="2827A7D8">
    <w:pPr>
      <w:pStyle w:val="33"/>
    </w:pPr>
    <w:bookmarkStart w:id="135" w:name="_Hlk135299665"/>
    <w:r>
      <w:rPr>
        <w:rFonts w:ascii="Arial" w:hAnsi="Arial" w:cs="Arial"/>
        <w:sz w:val="14"/>
        <w:szCs w:val="14"/>
      </w:rPr>
      <w:t xml:space="preserve">Atualização: </w:t>
    </w:r>
    <w:bookmarkEnd w:id="135"/>
    <w:r>
      <w:rPr>
        <w:rFonts w:ascii="Arial" w:hAnsi="Arial" w:cs="Arial"/>
        <w:sz w:val="14"/>
        <w:szCs w:val="14"/>
      </w:rPr>
      <w:t>NOV/2025</w:t>
    </w:r>
    <w:bookmarkEnd w:id="13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F5972">
    <w:pPr>
      <w:pStyle w:val="21"/>
      <w:spacing w:line="14" w:lineRule="auto"/>
      <w:rPr>
        <w:sz w:val="20"/>
      </w:rPr>
    </w:pPr>
    <w:r>
      <w:rPr>
        <w:sz w:val="20"/>
      </w:rPr>
      <mc:AlternateContent>
        <mc:Choice Requires="wps">
          <w:drawing>
            <wp:anchor distT="0" distB="0" distL="0" distR="0" simplePos="0" relativeHeight="251660288" behindDoc="1" locked="0" layoutInCell="1" allowOverlap="1">
              <wp:simplePos x="0" y="0"/>
              <wp:positionH relativeFrom="page">
                <wp:posOffset>2896870</wp:posOffset>
              </wp:positionH>
              <wp:positionV relativeFrom="page">
                <wp:posOffset>438785</wp:posOffset>
              </wp:positionV>
              <wp:extent cx="2987675" cy="546735"/>
              <wp:effectExtent l="0" t="0" r="0" b="0"/>
              <wp:wrapNone/>
              <wp:docPr id="559113699" name="Caixa de Texto 9"/>
              <wp:cNvGraphicFramePr/>
              <a:graphic xmlns:a="http://schemas.openxmlformats.org/drawingml/2006/main">
                <a:graphicData uri="http://schemas.microsoft.com/office/word/2010/wordprocessingShape">
                  <wps:wsp>
                    <wps:cNvSpPr txBox="1"/>
                    <wps:spPr>
                      <a:xfrm>
                        <a:off x="0" y="0"/>
                        <a:ext cx="2987675" cy="546735"/>
                      </a:xfrm>
                      <a:prstGeom prst="rect">
                        <a:avLst/>
                      </a:prstGeom>
                    </wps:spPr>
                    <wps:txbx>
                      <w:txbxContent>
                        <w:p w14:paraId="48EE2B06">
                          <w:pPr>
                            <w:spacing w:before="12"/>
                            <w:ind w:left="608" w:right="605" w:hanging="2"/>
                            <w:jc w:val="center"/>
                            <w:rPr>
                              <w:b/>
                              <w:iCs/>
                              <w:sz w:val="18"/>
                            </w:rPr>
                          </w:pPr>
                          <w:r>
                            <w:rPr>
                              <w:bCs/>
                              <w:iCs/>
                              <w:sz w:val="18"/>
                            </w:rPr>
                            <w:t>SERVIÇO PÚBLICO FEDERAL MINISTÉRIO DA EDUCAÇÃO</w:t>
                          </w:r>
                          <w:r>
                            <w:rPr>
                              <w:b/>
                              <w:iCs/>
                              <w:sz w:val="18"/>
                            </w:rPr>
                            <w:t xml:space="preserve"> UNIVERSIDADE FEDERAL DA BAHIA</w:t>
                          </w:r>
                        </w:p>
                        <w:p w14:paraId="2F135056">
                          <w:pPr>
                            <w:spacing w:before="1"/>
                            <w:jc w:val="center"/>
                            <w:rPr>
                              <w:b/>
                              <w:iCs/>
                              <w:sz w:val="18"/>
                            </w:rPr>
                          </w:pPr>
                          <w:r>
                            <w:rPr>
                              <w:b/>
                              <w:iCs/>
                              <w:sz w:val="18"/>
                            </w:rPr>
                            <w:t>COMPLEXOHOSPITALAR EDESAÚDE/UFBA-</w:t>
                          </w:r>
                          <w:r>
                            <w:rPr>
                              <w:b/>
                              <w:iCs/>
                              <w:spacing w:val="-5"/>
                              <w:sz w:val="18"/>
                            </w:rPr>
                            <w:t>CHS</w:t>
                          </w:r>
                        </w:p>
                      </w:txbxContent>
                    </wps:txbx>
                    <wps:bodyPr wrap="square" lIns="0" tIns="0" rIns="0" bIns="0" rtlCol="0">
                      <a:noAutofit/>
                    </wps:bodyPr>
                  </wps:wsp>
                </a:graphicData>
              </a:graphic>
            </wp:anchor>
          </w:drawing>
        </mc:Choice>
        <mc:Fallback>
          <w:pict>
            <v:shape id="Caixa de Texto 9" o:spid="_x0000_s1026" o:spt="202" type="#_x0000_t202" style="position:absolute;left:0pt;margin-left:228.1pt;margin-top:34.55pt;height:43.05pt;width:235.25pt;mso-position-horizontal-relative:page;mso-position-vertical-relative:page;z-index:-251656192;mso-width-relative:page;mso-height-relative:page;" filled="f" stroked="f" coordsize="21600,21600" o:gfxdata="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BSHDk2QAAAAoBAAAPAAAAAAAAAAEAIAAAACIAAABkcnMvZG93bnJldi54&#10;bWxQSwECFAAUAAAACACHTuJANG3H88ABAACDAwAADgAAAAAAAAABACAAAAAoAQAAZHJzL2Uyb0Rv&#10;Yy54bWxQSwUGAAAAAAYABgBZAQAAWgUAAAAA&#10;">
              <v:fill on="f" focussize="0,0"/>
              <v:stroke on="f"/>
              <v:imagedata o:title=""/>
              <o:lock v:ext="edit" aspectratio="f"/>
              <v:textbox inset="0mm,0mm,0mm,0mm">
                <w:txbxContent>
                  <w:p w14:paraId="48EE2B06">
                    <w:pPr>
                      <w:spacing w:before="12"/>
                      <w:ind w:left="608" w:right="605" w:hanging="2"/>
                      <w:jc w:val="center"/>
                      <w:rPr>
                        <w:b/>
                        <w:iCs/>
                        <w:sz w:val="18"/>
                      </w:rPr>
                    </w:pPr>
                    <w:r>
                      <w:rPr>
                        <w:bCs/>
                        <w:iCs/>
                        <w:sz w:val="18"/>
                      </w:rPr>
                      <w:t>SERVIÇO PÚBLICO FEDERAL MINISTÉRIO DA EDUCAÇÃO</w:t>
                    </w:r>
                    <w:r>
                      <w:rPr>
                        <w:b/>
                        <w:iCs/>
                        <w:sz w:val="18"/>
                      </w:rPr>
                      <w:t xml:space="preserve"> UNIVERSIDADE FEDERAL DA BAHIA</w:t>
                    </w:r>
                  </w:p>
                  <w:p w14:paraId="2F135056">
                    <w:pPr>
                      <w:spacing w:before="1"/>
                      <w:jc w:val="center"/>
                      <w:rPr>
                        <w:b/>
                        <w:iCs/>
                        <w:sz w:val="18"/>
                      </w:rPr>
                    </w:pPr>
                    <w:r>
                      <w:rPr>
                        <w:b/>
                        <w:iCs/>
                        <w:sz w:val="18"/>
                      </w:rPr>
                      <w:t>COMPLEXOHOSPITALAR EDESAÚDE/UFBA-</w:t>
                    </w:r>
                    <w:r>
                      <w:rPr>
                        <w:b/>
                        <w:iCs/>
                        <w:spacing w:val="-5"/>
                        <w:sz w:val="18"/>
                      </w:rPr>
                      <w:t>CHS</w:t>
                    </w:r>
                  </w:p>
                </w:txbxContent>
              </v:textbox>
            </v:shape>
          </w:pict>
        </mc:Fallback>
      </mc:AlternateContent>
    </w:r>
    <w:r>
      <w:rPr>
        <w:sz w:val="20"/>
      </w:rPr>
      <mc:AlternateContent>
        <mc:Choice Requires="wpg">
          <w:drawing>
            <wp:anchor distT="0" distB="0" distL="0" distR="0" simplePos="0" relativeHeight="251659264" behindDoc="1" locked="0" layoutInCell="1" allowOverlap="1">
              <wp:simplePos x="0" y="0"/>
              <wp:positionH relativeFrom="page">
                <wp:posOffset>861060</wp:posOffset>
              </wp:positionH>
              <wp:positionV relativeFrom="page">
                <wp:posOffset>251460</wp:posOffset>
              </wp:positionV>
              <wp:extent cx="6200140" cy="774700"/>
              <wp:effectExtent l="0" t="0" r="0" b="0"/>
              <wp:wrapNone/>
              <wp:docPr id="1149129767" name="Agrupar 7"/>
              <wp:cNvGraphicFramePr/>
              <a:graphic xmlns:a="http://schemas.openxmlformats.org/drawingml/2006/main">
                <a:graphicData uri="http://schemas.microsoft.com/office/word/2010/wordprocessingGroup">
                  <wpg:wgp>
                    <wpg:cNvGrpSpPr/>
                    <wpg:grpSpPr>
                      <a:xfrm>
                        <a:off x="0" y="0"/>
                        <a:ext cx="6200140" cy="774700"/>
                        <a:chOff x="0" y="0"/>
                        <a:chExt cx="62001" cy="7747"/>
                      </a:xfrm>
                    </wpg:grpSpPr>
                    <wps:wsp>
                      <wps:cNvPr id="2092725701" name="Graphic 13"/>
                      <wps:cNvSpPr/>
                      <wps:spPr bwMode="auto">
                        <a:xfrm>
                          <a:off x="0" y="0"/>
                          <a:ext cx="62001" cy="7747"/>
                        </a:xfrm>
                        <a:custGeom>
                          <a:avLst/>
                          <a:gdLst>
                            <a:gd name="T0" fmla="*/ 6199632 w 6200140"/>
                            <a:gd name="T1" fmla="*/ 0 h 774700"/>
                            <a:gd name="T2" fmla="*/ 6193536 w 6200140"/>
                            <a:gd name="T3" fmla="*/ 0 h 774700"/>
                            <a:gd name="T4" fmla="*/ 6193536 w 6200140"/>
                            <a:gd name="T5" fmla="*/ 6096 h 774700"/>
                            <a:gd name="T6" fmla="*/ 6193536 w 6200140"/>
                            <a:gd name="T7" fmla="*/ 42672 h 774700"/>
                            <a:gd name="T8" fmla="*/ 6193536 w 6200140"/>
                            <a:gd name="T9" fmla="*/ 768096 h 774700"/>
                            <a:gd name="T10" fmla="*/ 1083564 w 6200140"/>
                            <a:gd name="T11" fmla="*/ 768096 h 774700"/>
                            <a:gd name="T12" fmla="*/ 1083564 w 6200140"/>
                            <a:gd name="T13" fmla="*/ 42672 h 774700"/>
                            <a:gd name="T14" fmla="*/ 1083564 w 6200140"/>
                            <a:gd name="T15" fmla="*/ 6096 h 774700"/>
                            <a:gd name="T16" fmla="*/ 6193536 w 6200140"/>
                            <a:gd name="T17" fmla="*/ 6096 h 774700"/>
                            <a:gd name="T18" fmla="*/ 6193536 w 6200140"/>
                            <a:gd name="T19" fmla="*/ 0 h 774700"/>
                            <a:gd name="T20" fmla="*/ 1083564 w 6200140"/>
                            <a:gd name="T21" fmla="*/ 0 h 774700"/>
                            <a:gd name="T22" fmla="*/ 1077468 w 6200140"/>
                            <a:gd name="T23" fmla="*/ 0 h 774700"/>
                            <a:gd name="T24" fmla="*/ 1077468 w 6200140"/>
                            <a:gd name="T25" fmla="*/ 6096 h 774700"/>
                            <a:gd name="T26" fmla="*/ 1077468 w 6200140"/>
                            <a:gd name="T27" fmla="*/ 42672 h 774700"/>
                            <a:gd name="T28" fmla="*/ 1077468 w 6200140"/>
                            <a:gd name="T29" fmla="*/ 768096 h 774700"/>
                            <a:gd name="T30" fmla="*/ 6096 w 6200140"/>
                            <a:gd name="T31" fmla="*/ 768096 h 774700"/>
                            <a:gd name="T32" fmla="*/ 6096 w 6200140"/>
                            <a:gd name="T33" fmla="*/ 42672 h 774700"/>
                            <a:gd name="T34" fmla="*/ 6096 w 6200140"/>
                            <a:gd name="T35" fmla="*/ 6096 h 774700"/>
                            <a:gd name="T36" fmla="*/ 1077468 w 6200140"/>
                            <a:gd name="T37" fmla="*/ 6096 h 774700"/>
                            <a:gd name="T38" fmla="*/ 1077468 w 6200140"/>
                            <a:gd name="T39" fmla="*/ 0 h 774700"/>
                            <a:gd name="T40" fmla="*/ 6096 w 6200140"/>
                            <a:gd name="T41" fmla="*/ 0 h 774700"/>
                            <a:gd name="T42" fmla="*/ 0 w 6200140"/>
                            <a:gd name="T43" fmla="*/ 0 h 774700"/>
                            <a:gd name="T44" fmla="*/ 0 w 6200140"/>
                            <a:gd name="T45" fmla="*/ 42672 h 774700"/>
                            <a:gd name="T46" fmla="*/ 0 w 6200140"/>
                            <a:gd name="T47" fmla="*/ 768096 h 774700"/>
                            <a:gd name="T48" fmla="*/ 0 w 6200140"/>
                            <a:gd name="T49" fmla="*/ 774192 h 774700"/>
                            <a:gd name="T50" fmla="*/ 6096 w 6200140"/>
                            <a:gd name="T51" fmla="*/ 774192 h 774700"/>
                            <a:gd name="T52" fmla="*/ 1077468 w 6200140"/>
                            <a:gd name="T53" fmla="*/ 774192 h 774700"/>
                            <a:gd name="T54" fmla="*/ 1083564 w 6200140"/>
                            <a:gd name="T55" fmla="*/ 774192 h 774700"/>
                            <a:gd name="T56" fmla="*/ 6193536 w 6200140"/>
                            <a:gd name="T57" fmla="*/ 774192 h 774700"/>
                            <a:gd name="T58" fmla="*/ 6199632 w 6200140"/>
                            <a:gd name="T59" fmla="*/ 774192 h 774700"/>
                            <a:gd name="T60" fmla="*/ 6199632 w 6200140"/>
                            <a:gd name="T61" fmla="*/ 768096 h 774700"/>
                            <a:gd name="T62" fmla="*/ 6199632 w 6200140"/>
                            <a:gd name="T63" fmla="*/ 42672 h 774700"/>
                            <a:gd name="T64" fmla="*/ 6199632 w 6200140"/>
                            <a:gd name="T65" fmla="*/ 0 h 774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00140" h="774700">
                              <a:moveTo>
                                <a:pt x="6199632" y="0"/>
                              </a:moveTo>
                              <a:lnTo>
                                <a:pt x="6193536" y="0"/>
                              </a:lnTo>
                              <a:lnTo>
                                <a:pt x="6193536" y="6096"/>
                              </a:lnTo>
                              <a:lnTo>
                                <a:pt x="6193536" y="42672"/>
                              </a:lnTo>
                              <a:lnTo>
                                <a:pt x="6193536" y="768096"/>
                              </a:lnTo>
                              <a:lnTo>
                                <a:pt x="1083564" y="768096"/>
                              </a:lnTo>
                              <a:lnTo>
                                <a:pt x="1083564" y="42672"/>
                              </a:lnTo>
                              <a:lnTo>
                                <a:pt x="1083564" y="6096"/>
                              </a:lnTo>
                              <a:lnTo>
                                <a:pt x="6193536" y="6096"/>
                              </a:lnTo>
                              <a:lnTo>
                                <a:pt x="6193536" y="0"/>
                              </a:lnTo>
                              <a:lnTo>
                                <a:pt x="1083564" y="0"/>
                              </a:lnTo>
                              <a:lnTo>
                                <a:pt x="1077468" y="0"/>
                              </a:lnTo>
                              <a:lnTo>
                                <a:pt x="1077468" y="6096"/>
                              </a:lnTo>
                              <a:lnTo>
                                <a:pt x="1077468" y="42672"/>
                              </a:lnTo>
                              <a:lnTo>
                                <a:pt x="1077468" y="768096"/>
                              </a:lnTo>
                              <a:lnTo>
                                <a:pt x="6096" y="768096"/>
                              </a:lnTo>
                              <a:lnTo>
                                <a:pt x="6096" y="42672"/>
                              </a:lnTo>
                              <a:lnTo>
                                <a:pt x="6096" y="6096"/>
                              </a:lnTo>
                              <a:lnTo>
                                <a:pt x="1077468" y="6096"/>
                              </a:lnTo>
                              <a:lnTo>
                                <a:pt x="1077468" y="0"/>
                              </a:lnTo>
                              <a:lnTo>
                                <a:pt x="6096" y="0"/>
                              </a:lnTo>
                              <a:lnTo>
                                <a:pt x="0" y="0"/>
                              </a:lnTo>
                              <a:lnTo>
                                <a:pt x="0" y="42672"/>
                              </a:lnTo>
                              <a:lnTo>
                                <a:pt x="0" y="768096"/>
                              </a:lnTo>
                              <a:lnTo>
                                <a:pt x="0" y="774192"/>
                              </a:lnTo>
                              <a:lnTo>
                                <a:pt x="6096" y="774192"/>
                              </a:lnTo>
                              <a:lnTo>
                                <a:pt x="1077468" y="774192"/>
                              </a:lnTo>
                              <a:lnTo>
                                <a:pt x="1083564" y="774192"/>
                              </a:lnTo>
                              <a:lnTo>
                                <a:pt x="6193536" y="774192"/>
                              </a:lnTo>
                              <a:lnTo>
                                <a:pt x="6199632" y="774192"/>
                              </a:lnTo>
                              <a:lnTo>
                                <a:pt x="6199632" y="768096"/>
                              </a:lnTo>
                              <a:lnTo>
                                <a:pt x="6199632" y="42672"/>
                              </a:lnTo>
                              <a:lnTo>
                                <a:pt x="6199632" y="0"/>
                              </a:lnTo>
                              <a:close/>
                            </a:path>
                          </a:pathLst>
                        </a:custGeom>
                        <a:solidFill>
                          <a:srgbClr val="000001"/>
                        </a:solidFill>
                        <a:ln>
                          <a:noFill/>
                        </a:ln>
                      </wps:spPr>
                      <wps:bodyPr rot="0" vert="horz" wrap="square" lIns="91440" tIns="45720" rIns="91440" bIns="45720" anchor="t" anchorCtr="0" upright="1">
                        <a:noAutofit/>
                      </wps:bodyPr>
                    </wps:wsp>
                    <pic:pic xmlns:pic="http://schemas.openxmlformats.org/drawingml/2006/picture">
                      <pic:nvPicPr>
                        <pic:cNvPr id="319047594" name="Image 14"/>
                        <pic:cNvPicPr>
                          <a:picLocks noChangeAspect="1" noChangeArrowheads="1"/>
                        </pic:cNvPicPr>
                      </pic:nvPicPr>
                      <pic:blipFill>
                        <a:blip r:embed="rId1"/>
                        <a:srcRect/>
                        <a:stretch>
                          <a:fillRect/>
                        </a:stretch>
                      </pic:blipFill>
                      <pic:spPr>
                        <a:xfrm>
                          <a:off x="3291" y="441"/>
                          <a:ext cx="4466" cy="6218"/>
                        </a:xfrm>
                        <a:prstGeom prst="rect">
                          <a:avLst/>
                        </a:prstGeom>
                        <a:noFill/>
                      </pic:spPr>
                    </pic:pic>
                  </wpg:wgp>
                </a:graphicData>
              </a:graphic>
            </wp:anchor>
          </w:drawing>
        </mc:Choice>
        <mc:Fallback>
          <w:pict>
            <v:group id="Agrupar 7" o:spid="_x0000_s1026" o:spt="203" style="position:absolute;left:0pt;margin-left:67.8pt;margin-top:19.8pt;height:61pt;width:488.2pt;mso-position-horizontal-relative:page;mso-position-vertical-relative:page;z-index:-251657216;mso-width-relative:page;mso-height-relative:page;" coordsize="62001,7747" o:gfxdata="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">
              <o:lock v:ext="edit" aspectratio="f"/>
              <v:shape id="Graphic 13" o:spid="_x0000_s1026" o:spt="100" style="position:absolute;left:0;top:0;height:7747;width:62001;" fillcolor="#000001" filled="t" stroked="f" coordsize="6200140,774700" o:gfxdata="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10;ubfQwwAAAOMAAAAPAAAAAAAAAAEAIAAAACIAAABkcnMvZG93bnJldi54bWxQSwECFAAUAAAACACH&#10;TuJAMy8FnjsAAAA5AAAAEAAAAAAAAAABACAAAAASAQAAZHJzL3NoYXBleG1sLnhtbFBLBQYAAAAA&#10;BgAGAFsBAAC8AwAAAAA=&#10;" path="m6199632,0l6193536,0,6193536,6096,6193536,42672,6193536,768096,1083564,768096,1083564,42672,1083564,6096,6193536,6096,6193536,0,1083564,0,1077468,0,1077468,6096,1077468,42672,1077468,768096,6096,768096,6096,42672,6096,6096,1077468,6096,1077468,0,6096,0,0,0,0,42672,0,768096,0,774192,6096,774192,1077468,774192,1083564,774192,6193536,774192,6199632,774192,6199632,768096,6199632,42672,6199632,0xe">
                <v:path o:connectlocs="61995,0;61934,0;61934,60;61934,426;61934,7680;10835,7680;10835,426;10835,60;61934,60;61934,0;10835,0;10774,0;10774,60;10774,426;10774,7680;60,7680;60,426;60,60;10774,60;10774,0;60,0;0,0;0,426;0,7680;0,7741;60,7741;10774,7741;10835,7741;61934,7741;61995,7741;61995,7680;61995,426;61995,0" o:connectangles="0,0,0,0,0,0,0,0,0,0,0,0,0,0,0,0,0,0,0,0,0,0,0,0,0,0,0,0,0,0,0,0,0"/>
                <v:fill on="t" focussize="0,0"/>
                <v:stroke on="f"/>
                <v:imagedata o:title=""/>
                <o:lock v:ext="edit" aspectratio="f"/>
              </v:shape>
              <v:shape id="Image 14" o:spid="_x0000_s1026" o:spt="75" type="#_x0000_t75" style="position:absolute;left:3291;top:441;height:6218;width:4466;" filled="f" o:preferrelative="t" stroked="f" coordsize="21600,21600" o:gfxdata="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rFNv3FAAAA4gAAAA8AAAAAAAAAAQAgAAAAIgAAAGRycy9kb3ducmV2LnhtbFBLAQIUABQAAAAI&#10;AIdO4kAzLwWeOwAAADkAAAAQAAAAAAAAAAEAIAAAABQBAABkcnMvc2hhcGV4bWwueG1sUEsFBgAA&#10;AAAGAAYAWwEAAL4DAAAAAA==&#10;">
                <v:fill on="f" focussize="0,0"/>
                <v:stroke on="f"/>
                <v:imagedata r:id="rId1" o:title=""/>
                <o:lock v:ext="edit" aspectratio="t"/>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9"/>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516DA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4E7A42CB">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781E36F1">
          <w:pPr>
            <w:spacing w:after="0" w:line="240" w:lineRule="auto"/>
            <w:jc w:val="center"/>
            <w:rPr>
              <w:rFonts w:ascii="Arial" w:hAnsi="Arial" w:eastAsia="Calibri" w:cs="Arial"/>
              <w:sz w:val="18"/>
              <w:szCs w:val="18"/>
            </w:rPr>
          </w:pPr>
        </w:p>
        <w:p w14:paraId="4447F92A">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209C0A15">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072F7643">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6F027F61">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1E500D74">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20024B87">
          <w:pPr>
            <w:spacing w:after="0" w:line="240" w:lineRule="auto"/>
            <w:jc w:val="center"/>
            <w:rPr>
              <w:rFonts w:ascii="Arial" w:hAnsi="Arial" w:eastAsia="Calibri" w:cs="Arial"/>
              <w:sz w:val="18"/>
              <w:szCs w:val="18"/>
            </w:rPr>
          </w:pPr>
        </w:p>
      </w:tc>
      <w:tc>
        <w:tcPr>
          <w:tcW w:w="2008" w:type="dxa"/>
        </w:tcPr>
        <w:p w14:paraId="197D4783">
          <w:pPr>
            <w:spacing w:after="0" w:line="240" w:lineRule="auto"/>
            <w:jc w:val="center"/>
            <w:rPr>
              <w:rFonts w:ascii="Arial" w:hAnsi="Arial" w:eastAsia="Calibri" w:cs="Arial"/>
              <w:sz w:val="18"/>
              <w:szCs w:val="18"/>
            </w:rPr>
          </w:pPr>
        </w:p>
        <w:p w14:paraId="3BE1BA0B">
          <w:pPr>
            <w:spacing w:after="0" w:line="240" w:lineRule="auto"/>
            <w:jc w:val="center"/>
            <w:rPr>
              <w:rFonts w:ascii="Arial" w:hAnsi="Arial" w:eastAsia="Calibri" w:cs="Arial"/>
              <w:sz w:val="18"/>
              <w:szCs w:val="18"/>
            </w:rPr>
          </w:pPr>
        </w:p>
        <w:p w14:paraId="09879EF4">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63FA1720">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7"/>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3"/>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8"/>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5"/>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5">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309F0439"/>
    <w:multiLevelType w:val="multilevel"/>
    <w:tmpl w:val="309F0439"/>
    <w:lvl w:ilvl="0" w:tentative="0">
      <w:start w:val="1"/>
      <w:numFmt w:val="decimal"/>
      <w:lvlText w:val="%1."/>
      <w:lvlJc w:val="left"/>
      <w:pPr>
        <w:ind w:left="360" w:hanging="360"/>
      </w:pPr>
    </w:lvl>
    <w:lvl w:ilvl="1" w:tentative="0">
      <w:start w:val="1"/>
      <w:numFmt w:val="decimal"/>
      <w:lvlText w:val="%1.%2."/>
      <w:lvlJc w:val="left"/>
      <w:pPr>
        <w:ind w:left="1425"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39424AD7"/>
    <w:multiLevelType w:val="multilevel"/>
    <w:tmpl w:val="39424AD7"/>
    <w:lvl w:ilvl="0" w:tentative="0">
      <w:start w:val="1"/>
      <w:numFmt w:val="decimal"/>
      <w:pStyle w:val="38"/>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0">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6"/>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6B7D35"/>
    <w:multiLevelType w:val="multilevel"/>
    <w:tmpl w:val="446B7D35"/>
    <w:lvl w:ilvl="0" w:tentative="0">
      <w:start w:val="1"/>
      <w:numFmt w:val="decimal"/>
      <w:pStyle w:val="206"/>
      <w:suff w:val="space"/>
      <w:lvlText w:val="%1."/>
      <w:lvlJc w:val="left"/>
      <w:pPr>
        <w:ind w:left="0" w:firstLine="0"/>
      </w:pPr>
      <w:rPr>
        <w:rFonts w:hint="default"/>
        <w:b/>
      </w:rPr>
    </w:lvl>
    <w:lvl w:ilvl="1" w:tentative="0">
      <w:start w:val="1"/>
      <w:numFmt w:val="decimal"/>
      <w:pStyle w:val="207"/>
      <w:suff w:val="space"/>
      <w:lvlText w:val="%1.%2."/>
      <w:lvlJc w:val="left"/>
      <w:pPr>
        <w:ind w:left="142" w:firstLine="0"/>
      </w:pPr>
      <w:rPr>
        <w:rFonts w:hint="default"/>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209"/>
      <w:suff w:val="space"/>
      <w:lvlText w:val="%1.%2.%3."/>
      <w:lvlJc w:val="left"/>
      <w:pPr>
        <w:ind w:left="284" w:firstLine="0"/>
      </w:pPr>
      <w:rPr>
        <w:rFonts w:hint="default"/>
        <w:b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2">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3">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61"/>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8"/>
  </w:num>
  <w:num w:numId="3">
    <w:abstractNumId w:val="4"/>
  </w:num>
  <w:num w:numId="4">
    <w:abstractNumId w:val="13"/>
  </w:num>
  <w:num w:numId="5">
    <w:abstractNumId w:val="1"/>
  </w:num>
  <w:num w:numId="6">
    <w:abstractNumId w:val="10"/>
  </w:num>
  <w:num w:numId="7">
    <w:abstractNumId w:val="11"/>
  </w:num>
  <w:num w:numId="8">
    <w:abstractNumId w:val="5"/>
  </w:num>
  <w:num w:numId="9">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2"/>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2"/>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058E"/>
    <w:rsid w:val="000919E1"/>
    <w:rsid w:val="000A741E"/>
    <w:rsid w:val="000B4913"/>
    <w:rsid w:val="000C50DE"/>
    <w:rsid w:val="00102729"/>
    <w:rsid w:val="0010710C"/>
    <w:rsid w:val="00117499"/>
    <w:rsid w:val="00156FBE"/>
    <w:rsid w:val="001C017A"/>
    <w:rsid w:val="001D2821"/>
    <w:rsid w:val="00256471"/>
    <w:rsid w:val="002648FF"/>
    <w:rsid w:val="00266407"/>
    <w:rsid w:val="002812DB"/>
    <w:rsid w:val="00296668"/>
    <w:rsid w:val="002C1ABA"/>
    <w:rsid w:val="002D31CF"/>
    <w:rsid w:val="0032472D"/>
    <w:rsid w:val="00325518"/>
    <w:rsid w:val="00342BED"/>
    <w:rsid w:val="00356052"/>
    <w:rsid w:val="003A7210"/>
    <w:rsid w:val="003B1AD4"/>
    <w:rsid w:val="00435640"/>
    <w:rsid w:val="00452B01"/>
    <w:rsid w:val="004563B4"/>
    <w:rsid w:val="0047214C"/>
    <w:rsid w:val="004769B1"/>
    <w:rsid w:val="004A5E69"/>
    <w:rsid w:val="004B21A8"/>
    <w:rsid w:val="004B4CFD"/>
    <w:rsid w:val="004C179A"/>
    <w:rsid w:val="004D585D"/>
    <w:rsid w:val="004F7422"/>
    <w:rsid w:val="005060F7"/>
    <w:rsid w:val="00510A4E"/>
    <w:rsid w:val="00512D84"/>
    <w:rsid w:val="00513CB9"/>
    <w:rsid w:val="00573637"/>
    <w:rsid w:val="005C074E"/>
    <w:rsid w:val="005C65C8"/>
    <w:rsid w:val="005D168E"/>
    <w:rsid w:val="005F7894"/>
    <w:rsid w:val="00612D57"/>
    <w:rsid w:val="006140AA"/>
    <w:rsid w:val="00616295"/>
    <w:rsid w:val="00647B89"/>
    <w:rsid w:val="006A2FC7"/>
    <w:rsid w:val="006D096A"/>
    <w:rsid w:val="007202C5"/>
    <w:rsid w:val="00723731"/>
    <w:rsid w:val="00723D0D"/>
    <w:rsid w:val="0072684D"/>
    <w:rsid w:val="00732158"/>
    <w:rsid w:val="0073645C"/>
    <w:rsid w:val="00766EB4"/>
    <w:rsid w:val="00772376"/>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0604E"/>
    <w:rsid w:val="00924305"/>
    <w:rsid w:val="009423BD"/>
    <w:rsid w:val="0097366F"/>
    <w:rsid w:val="00993991"/>
    <w:rsid w:val="009A6622"/>
    <w:rsid w:val="009B1B64"/>
    <w:rsid w:val="009B73E5"/>
    <w:rsid w:val="00A11A5F"/>
    <w:rsid w:val="00A23D7C"/>
    <w:rsid w:val="00A27569"/>
    <w:rsid w:val="00A31342"/>
    <w:rsid w:val="00A6057C"/>
    <w:rsid w:val="00A737A5"/>
    <w:rsid w:val="00A75D5F"/>
    <w:rsid w:val="00AD39B9"/>
    <w:rsid w:val="00AF3723"/>
    <w:rsid w:val="00B071E2"/>
    <w:rsid w:val="00B169D0"/>
    <w:rsid w:val="00B27D69"/>
    <w:rsid w:val="00BA357A"/>
    <w:rsid w:val="00BC24D6"/>
    <w:rsid w:val="00BD0102"/>
    <w:rsid w:val="00BE36C3"/>
    <w:rsid w:val="00C52B86"/>
    <w:rsid w:val="00C5628B"/>
    <w:rsid w:val="00C64060"/>
    <w:rsid w:val="00CA23F0"/>
    <w:rsid w:val="00D05F26"/>
    <w:rsid w:val="00D07288"/>
    <w:rsid w:val="00D20D1A"/>
    <w:rsid w:val="00D24ADA"/>
    <w:rsid w:val="00D4297F"/>
    <w:rsid w:val="00D42D44"/>
    <w:rsid w:val="00D87225"/>
    <w:rsid w:val="00E0125E"/>
    <w:rsid w:val="00E1714D"/>
    <w:rsid w:val="00E30031"/>
    <w:rsid w:val="00E51DD6"/>
    <w:rsid w:val="00E71873"/>
    <w:rsid w:val="00E84125"/>
    <w:rsid w:val="00EC673B"/>
    <w:rsid w:val="00F11CF1"/>
    <w:rsid w:val="00F35BDD"/>
    <w:rsid w:val="00F76D35"/>
    <w:rsid w:val="00FB323D"/>
    <w:rsid w:val="00FD7AFE"/>
    <w:rsid w:val="00FF11E0"/>
    <w:rsid w:val="00FF6321"/>
    <w:rsid w:val="0A340110"/>
    <w:rsid w:val="649A719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67" w:name="Placeholder Text"/>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60"/>
    <w:qFormat/>
    <w:uiPriority w:val="1"/>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61"/>
    <w:qFormat/>
    <w:uiPriority w:val="9"/>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2"/>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3"/>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70"/>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4"/>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71"/>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2"/>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3"/>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basedOn w:val="11"/>
    <w:semiHidden/>
    <w:unhideWhenUsed/>
    <w:qFormat/>
    <w:uiPriority w:val="99"/>
    <w:rPr>
      <w:color w:val="954F72" w:themeColor="followedHyperlink"/>
      <w:u w:val="single"/>
      <w14:textFill>
        <w14:solidFill>
          <w14:schemeClr w14:val="folHlink"/>
        </w14:solidFill>
      </w14:textFill>
    </w:rPr>
  </w:style>
  <w:style w:type="character" w:styleId="16">
    <w:name w:val="Emphasis"/>
    <w:basedOn w:val="11"/>
    <w:qFormat/>
    <w:uiPriority w:val="20"/>
    <w:rPr>
      <w:i/>
      <w:iCs/>
    </w:rPr>
  </w:style>
  <w:style w:type="character" w:styleId="17">
    <w:name w:val="Hyperlink"/>
    <w:qFormat/>
    <w:uiPriority w:val="99"/>
    <w:rPr>
      <w:color w:val="000080"/>
      <w:u w:val="single"/>
    </w:rPr>
  </w:style>
  <w:style w:type="character" w:styleId="18">
    <w:name w:val="page number"/>
    <w:basedOn w:val="11"/>
    <w:qFormat/>
    <w:uiPriority w:val="0"/>
  </w:style>
  <w:style w:type="paragraph" w:styleId="19">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20">
    <w:name w:val="List"/>
    <w:basedOn w:val="21"/>
    <w:qFormat/>
    <w:uiPriority w:val="0"/>
    <w:pPr>
      <w:suppressAutoHyphens/>
      <w:spacing w:before="0" w:after="160"/>
    </w:pPr>
    <w:rPr>
      <w:rFonts w:cs="Lucida Sans"/>
    </w:rPr>
  </w:style>
  <w:style w:type="paragraph" w:styleId="21">
    <w:name w:val="Body Text"/>
    <w:basedOn w:val="1"/>
    <w:link w:val="86"/>
    <w:unhideWhenUsed/>
    <w:qFormat/>
    <w:uiPriority w:val="1"/>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2">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23">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4">
    <w:name w:val="annotation text"/>
    <w:basedOn w:val="1"/>
    <w:link w:val="45"/>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5">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6">
    <w:name w:val="Title"/>
    <w:basedOn w:val="1"/>
    <w:next w:val="1"/>
    <w:link w:val="76"/>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7">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8">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9">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30">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31">
    <w:name w:val="header"/>
    <w:basedOn w:val="1"/>
    <w:link w:val="40"/>
    <w:unhideWhenUsed/>
    <w:qFormat/>
    <w:uiPriority w:val="0"/>
    <w:pPr>
      <w:tabs>
        <w:tab w:val="center" w:pos="4252"/>
        <w:tab w:val="right" w:pos="8504"/>
      </w:tabs>
      <w:spacing w:after="0" w:line="240" w:lineRule="auto"/>
    </w:pPr>
  </w:style>
  <w:style w:type="paragraph" w:styleId="32">
    <w:name w:val="annotation subject"/>
    <w:basedOn w:val="24"/>
    <w:next w:val="24"/>
    <w:link w:val="73"/>
    <w:semiHidden/>
    <w:unhideWhenUsed/>
    <w:qFormat/>
    <w:uiPriority w:val="99"/>
    <w:rPr>
      <w:b/>
      <w:bCs/>
    </w:rPr>
  </w:style>
  <w:style w:type="paragraph" w:styleId="33">
    <w:name w:val="footer"/>
    <w:basedOn w:val="1"/>
    <w:link w:val="41"/>
    <w:unhideWhenUsed/>
    <w:qFormat/>
    <w:uiPriority w:val="0"/>
    <w:pPr>
      <w:tabs>
        <w:tab w:val="center" w:pos="4252"/>
        <w:tab w:val="right" w:pos="8504"/>
      </w:tabs>
      <w:spacing w:after="0" w:line="240" w:lineRule="auto"/>
    </w:pPr>
  </w:style>
  <w:style w:type="paragraph" w:styleId="34">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5">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6">
    <w:name w:val="Balloon Text"/>
    <w:basedOn w:val="1"/>
    <w:link w:val="46"/>
    <w:unhideWhenUsed/>
    <w:qFormat/>
    <w:uiPriority w:val="99"/>
    <w:pPr>
      <w:spacing w:after="0" w:line="240" w:lineRule="auto"/>
    </w:pPr>
    <w:rPr>
      <w:rFonts w:ascii="Segoe UI" w:hAnsi="Segoe UI" w:cs="Segoe UI"/>
      <w:sz w:val="18"/>
      <w:szCs w:val="18"/>
    </w:rPr>
  </w:style>
  <w:style w:type="paragraph" w:styleId="37">
    <w:name w:val="Subtitle"/>
    <w:basedOn w:val="1"/>
    <w:next w:val="1"/>
    <w:link w:val="174"/>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8">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9">
    <w:name w:val="Table Grid"/>
    <w:basedOn w:val="12"/>
    <w:qFormat/>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0">
    <w:name w:val="Cabeçalho Char"/>
    <w:basedOn w:val="11"/>
    <w:link w:val="31"/>
    <w:qFormat/>
    <w:uiPriority w:val="0"/>
  </w:style>
  <w:style w:type="character" w:customStyle="1" w:styleId="41">
    <w:name w:val="Rodapé Char"/>
    <w:basedOn w:val="11"/>
    <w:link w:val="33"/>
    <w:qFormat/>
    <w:uiPriority w:val="99"/>
  </w:style>
  <w:style w:type="character" w:customStyle="1" w:styleId="42">
    <w:name w:val="modalidade"/>
    <w:basedOn w:val="11"/>
    <w:uiPriority w:val="0"/>
  </w:style>
  <w:style w:type="paragraph" w:customStyle="1" w:styleId="43">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4">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5">
    <w:name w:val="Texto de comentário Char"/>
    <w:basedOn w:val="11"/>
    <w:link w:val="24"/>
    <w:qFormat/>
    <w:uiPriority w:val="99"/>
    <w:rPr>
      <w:rFonts w:ascii="Ecofont_Spranq_eco_Sans" w:hAnsi="Ecofont_Spranq_eco_Sans" w:cs="Tahoma" w:eastAsiaTheme="minorEastAsia"/>
      <w:sz w:val="20"/>
      <w:szCs w:val="20"/>
      <w:lang w:eastAsia="pt-BR"/>
    </w:rPr>
  </w:style>
  <w:style w:type="character" w:customStyle="1" w:styleId="46">
    <w:name w:val="Texto de balão Char"/>
    <w:basedOn w:val="11"/>
    <w:link w:val="36"/>
    <w:qFormat/>
    <w:uiPriority w:val="99"/>
    <w:rPr>
      <w:rFonts w:ascii="Segoe UI" w:hAnsi="Segoe UI" w:cs="Segoe UI"/>
      <w:sz w:val="18"/>
      <w:szCs w:val="18"/>
    </w:rPr>
  </w:style>
  <w:style w:type="character" w:customStyle="1" w:styleId="47">
    <w:name w:val="Link da Internet"/>
    <w:basedOn w:val="11"/>
    <w:uiPriority w:val="99"/>
    <w:rPr>
      <w:rFonts w:cs="Times New Roman"/>
      <w:color w:val="0000FF"/>
      <w:u w:val="single"/>
    </w:rPr>
  </w:style>
  <w:style w:type="character" w:customStyle="1" w:styleId="48">
    <w:name w:val="apple-converted-space"/>
    <w:basedOn w:val="11"/>
    <w:qFormat/>
    <w:uiPriority w:val="0"/>
    <w:rPr>
      <w:rFonts w:cs="Times New Roman"/>
    </w:rPr>
  </w:style>
  <w:style w:type="character" w:customStyle="1" w:styleId="49">
    <w:name w:val="field-content"/>
    <w:basedOn w:val="11"/>
    <w:qFormat/>
    <w:uiPriority w:val="0"/>
    <w:rPr>
      <w:rFonts w:cs="Times New Roman"/>
    </w:rPr>
  </w:style>
  <w:style w:type="character" w:customStyle="1" w:styleId="50">
    <w:name w:val="Nivel 2 Char"/>
    <w:basedOn w:val="11"/>
    <w:link w:val="51"/>
    <w:qFormat/>
    <w:uiPriority w:val="0"/>
    <w:rPr>
      <w:rFonts w:ascii="Ecofont_Spranq_eco_Sans" w:hAnsi="Ecofont_Spranq_eco_Sans" w:eastAsia="Arial Unicode MS"/>
    </w:rPr>
  </w:style>
  <w:style w:type="paragraph" w:customStyle="1" w:styleId="51">
    <w:name w:val="Nivel 2"/>
    <w:link w:val="50"/>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2">
    <w:name w:val="Nivel 3"/>
    <w:basedOn w:val="51"/>
    <w:link w:val="54"/>
    <w:qFormat/>
    <w:uiPriority w:val="0"/>
    <w:pPr>
      <w:tabs>
        <w:tab w:val="left" w:pos="360"/>
      </w:tabs>
      <w:ind w:left="1922" w:hanging="720"/>
    </w:pPr>
    <w:rPr>
      <w:rFonts w:cs="Arial"/>
      <w:color w:val="000000"/>
    </w:rPr>
  </w:style>
  <w:style w:type="paragraph" w:customStyle="1" w:styleId="53">
    <w:name w:val="Nivel 4"/>
    <w:basedOn w:val="52"/>
    <w:link w:val="57"/>
    <w:qFormat/>
    <w:uiPriority w:val="0"/>
    <w:pPr>
      <w:ind w:left="2491"/>
    </w:pPr>
    <w:rPr>
      <w:color w:val="00000A"/>
    </w:rPr>
  </w:style>
  <w:style w:type="character" w:customStyle="1" w:styleId="54">
    <w:name w:val="Nivel 3 Char"/>
    <w:basedOn w:val="11"/>
    <w:link w:val="52"/>
    <w:qFormat/>
    <w:uiPriority w:val="0"/>
    <w:rPr>
      <w:rFonts w:ascii="Ecofont_Spranq_eco_Sans" w:hAnsi="Ecofont_Spranq_eco_Sans" w:eastAsia="Arial Unicode MS" w:cs="Arial"/>
      <w:color w:val="000000"/>
    </w:rPr>
  </w:style>
  <w:style w:type="paragraph" w:customStyle="1" w:styleId="55">
    <w:name w:val="Nível 3-R"/>
    <w:basedOn w:val="52"/>
    <w:link w:val="56"/>
    <w:qFormat/>
    <w:uiPriority w:val="0"/>
    <w:pPr>
      <w:numPr>
        <w:ilvl w:val="2"/>
        <w:numId w:val="3"/>
      </w:numPr>
      <w:tabs>
        <w:tab w:val="clear" w:pos="360"/>
      </w:tabs>
    </w:pPr>
    <w:rPr>
      <w:rFonts w:ascii="Arial" w:hAnsi="Arial" w:eastAsiaTheme="minorEastAsia"/>
      <w:i/>
      <w:iCs/>
      <w:color w:val="FF0000"/>
    </w:rPr>
  </w:style>
  <w:style w:type="character" w:customStyle="1" w:styleId="56">
    <w:name w:val="Nível 3-R Char"/>
    <w:basedOn w:val="54"/>
    <w:link w:val="55"/>
    <w:qFormat/>
    <w:uiPriority w:val="0"/>
    <w:rPr>
      <w:rFonts w:ascii="Arial" w:hAnsi="Arial" w:cs="Arial" w:eastAsiaTheme="minorEastAsia"/>
      <w:i/>
      <w:iCs/>
      <w:color w:val="FF0000"/>
    </w:rPr>
  </w:style>
  <w:style w:type="character" w:customStyle="1" w:styleId="57">
    <w:name w:val="Nivel 4 Char"/>
    <w:basedOn w:val="11"/>
    <w:link w:val="53"/>
    <w:qFormat/>
    <w:uiPriority w:val="0"/>
    <w:rPr>
      <w:rFonts w:ascii="Ecofont_Spranq_eco_Sans" w:hAnsi="Ecofont_Spranq_eco_Sans" w:eastAsia="Arial Unicode MS" w:cs="Arial"/>
      <w:color w:val="00000A"/>
    </w:rPr>
  </w:style>
  <w:style w:type="paragraph" w:customStyle="1" w:styleId="58">
    <w:name w:val="Nível 2 -Red"/>
    <w:basedOn w:val="51"/>
    <w:link w:val="59"/>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9">
    <w:name w:val="Nível 2 -Red Char"/>
    <w:basedOn w:val="50"/>
    <w:link w:val="58"/>
    <w:qFormat/>
    <w:uiPriority w:val="0"/>
    <w:rPr>
      <w:rFonts w:ascii="Arial" w:hAnsi="Arial" w:eastAsia="Times New Roman" w:cs="Arial"/>
      <w:i/>
      <w:iCs/>
      <w:color w:val="FF0000"/>
      <w:sz w:val="20"/>
    </w:rPr>
  </w:style>
  <w:style w:type="character" w:customStyle="1" w:styleId="60">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61">
    <w:name w:val="Título 2 Char"/>
    <w:basedOn w:val="11"/>
    <w:link w:val="3"/>
    <w:qFormat/>
    <w:uiPriority w:val="9"/>
    <w:rPr>
      <w:rFonts w:ascii="Times New Roman" w:hAnsi="Times New Roman" w:cs="Times New Roman" w:eastAsiaTheme="minorEastAsia"/>
      <w:b/>
      <w:color w:val="000000"/>
      <w:sz w:val="24"/>
      <w:szCs w:val="20"/>
      <w:lang w:eastAsia="pt-BR"/>
    </w:rPr>
  </w:style>
  <w:style w:type="character" w:customStyle="1" w:styleId="62">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3">
    <w:name w:val="Título 4 Char"/>
    <w:basedOn w:val="11"/>
    <w:link w:val="5"/>
    <w:semiHidden/>
    <w:qFormat/>
    <w:uiPriority w:val="0"/>
    <w:rPr>
      <w:rFonts w:asciiTheme="majorHAnsi" w:hAnsiTheme="majorHAnsi" w:eastAsiaTheme="majorEastAsia" w:cstheme="majorBidi"/>
      <w:i/>
      <w:iCs/>
      <w:color w:val="2E75B6" w:themeColor="accent1" w:themeShade="BF"/>
      <w:sz w:val="24"/>
      <w:szCs w:val="24"/>
      <w:lang w:eastAsia="pt-BR"/>
    </w:rPr>
  </w:style>
  <w:style w:type="character" w:customStyle="1" w:styleId="64">
    <w:name w:val="Título 6 Char"/>
    <w:basedOn w:val="11"/>
    <w:link w:val="7"/>
    <w:semiHidden/>
    <w:qFormat/>
    <w:uiPriority w:val="9"/>
    <w:rPr>
      <w:rFonts w:asciiTheme="majorHAnsi" w:hAnsiTheme="majorHAnsi" w:eastAsiaTheme="majorEastAsia" w:cstheme="majorBidi"/>
      <w:color w:val="1F4E79" w:themeColor="accent1" w:themeShade="80"/>
    </w:rPr>
  </w:style>
  <w:style w:type="paragraph" w:styleId="65">
    <w:name w:val="List Paragraph"/>
    <w:basedOn w:val="1"/>
    <w:link w:val="116"/>
    <w:qFormat/>
    <w:uiPriority w:val="34"/>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6">
    <w:name w:val="Nível 2"/>
    <w:basedOn w:val="1"/>
    <w:next w:val="1"/>
    <w:qFormat/>
    <w:uiPriority w:val="0"/>
    <w:pPr>
      <w:spacing w:after="120" w:line="240" w:lineRule="auto"/>
      <w:jc w:val="both"/>
    </w:pPr>
    <w:rPr>
      <w:rFonts w:ascii="Arial" w:hAnsi="Arial" w:cs="Times New Roman" w:eastAsiaTheme="minorEastAsia"/>
      <w:b/>
      <w:sz w:val="24"/>
      <w:szCs w:val="20"/>
      <w:lang w:eastAsia="pt-BR"/>
    </w:rPr>
  </w:style>
  <w:style w:type="character" w:customStyle="1" w:styleId="67">
    <w:name w:val="normal__char1"/>
    <w:qFormat/>
    <w:uiPriority w:val="0"/>
    <w:rPr>
      <w:rFonts w:hint="default" w:ascii="Arial" w:hAnsi="Arial" w:cs="Arial"/>
      <w:sz w:val="24"/>
      <w:szCs w:val="24"/>
      <w:u w:val="none"/>
    </w:rPr>
  </w:style>
  <w:style w:type="character" w:customStyle="1" w:styleId="68">
    <w:name w:val="apple-style-span"/>
    <w:basedOn w:val="11"/>
    <w:qFormat/>
    <w:uiPriority w:val="0"/>
  </w:style>
  <w:style w:type="paragraph" w:styleId="69">
    <w:name w:val="Quote"/>
    <w:basedOn w:val="1"/>
    <w:next w:val="1"/>
    <w:link w:val="70"/>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70">
    <w:name w:val="Citação Char"/>
    <w:basedOn w:val="11"/>
    <w:link w:val="69"/>
    <w:qFormat/>
    <w:uiPriority w:val="0"/>
    <w:rPr>
      <w:rFonts w:ascii="Arial" w:hAnsi="Arial" w:eastAsia="Calibri" w:cs="Tahoma"/>
      <w:i/>
      <w:iCs/>
      <w:color w:val="000000"/>
      <w:sz w:val="20"/>
      <w:szCs w:val="24"/>
      <w:shd w:val="clear" w:color="auto" w:fill="FFFFCC"/>
    </w:rPr>
  </w:style>
  <w:style w:type="paragraph" w:customStyle="1" w:styleId="71">
    <w:name w:val="Nota explicativa"/>
    <w:basedOn w:val="69"/>
    <w:link w:val="72"/>
    <w:qFormat/>
    <w:uiPriority w:val="0"/>
    <w:rPr>
      <w:szCs w:val="20"/>
    </w:rPr>
  </w:style>
  <w:style w:type="character" w:customStyle="1" w:styleId="72">
    <w:name w:val="Nota explicativa Char"/>
    <w:basedOn w:val="70"/>
    <w:link w:val="71"/>
    <w:qFormat/>
    <w:uiPriority w:val="0"/>
    <w:rPr>
      <w:rFonts w:ascii="Arial" w:hAnsi="Arial" w:eastAsia="Calibri" w:cs="Tahoma"/>
      <w:color w:val="000000"/>
      <w:sz w:val="20"/>
      <w:szCs w:val="20"/>
      <w:shd w:val="clear" w:color="auto" w:fill="FFFFCC"/>
    </w:rPr>
  </w:style>
  <w:style w:type="character" w:customStyle="1" w:styleId="73">
    <w:name w:val="Assunto do comentário Char"/>
    <w:basedOn w:val="45"/>
    <w:link w:val="32"/>
    <w:semiHidden/>
    <w:qFormat/>
    <w:uiPriority w:val="99"/>
    <w:rPr>
      <w:rFonts w:ascii="Ecofont_Spranq_eco_Sans" w:hAnsi="Ecofont_Spranq_eco_Sans" w:cs="Tahoma" w:eastAsiaTheme="minorEastAsia"/>
      <w:b/>
      <w:bCs/>
      <w:sz w:val="20"/>
      <w:szCs w:val="20"/>
      <w:lang w:eastAsia="pt-BR"/>
    </w:rPr>
  </w:style>
  <w:style w:type="paragraph" w:customStyle="1" w:styleId="74">
    <w:name w:val="Nivel 01"/>
    <w:basedOn w:val="2"/>
    <w:next w:val="1"/>
    <w:link w:val="77"/>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5">
    <w:name w:val="Nivel_01_Titulo"/>
    <w:basedOn w:val="74"/>
    <w:link w:val="78"/>
    <w:qFormat/>
    <w:uiPriority w:val="0"/>
    <w:pPr>
      <w:jc w:val="left"/>
    </w:pPr>
    <w:rPr>
      <w:rFonts w:cstheme="majorBidi"/>
      <w:color w:val="000000" w:themeColor="text1"/>
      <w:sz w:val="52"/>
      <w:szCs w:val="52"/>
      <w14:textFill>
        <w14:solidFill>
          <w14:schemeClr w14:val="tx1"/>
        </w14:solidFill>
      </w14:textFill>
    </w:rPr>
  </w:style>
  <w:style w:type="character" w:customStyle="1" w:styleId="76">
    <w:name w:val="Título Char"/>
    <w:basedOn w:val="11"/>
    <w:link w:val="26"/>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7">
    <w:name w:val="Nivel 01 Char"/>
    <w:basedOn w:val="76"/>
    <w:link w:val="74"/>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8">
    <w:name w:val="Nivel_01_Titulo Char"/>
    <w:basedOn w:val="77"/>
    <w:link w:val="75"/>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9">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80">
    <w:name w:val="Quote Char"/>
    <w:basedOn w:val="11"/>
    <w:link w:val="81"/>
    <w:qFormat/>
    <w:uiPriority w:val="0"/>
    <w:rPr>
      <w:rFonts w:ascii="Ecofont_Spranq_eco_Sans" w:hAnsi="Ecofont_Spranq_eco_Sans" w:eastAsia="Calibri" w:cs="Tahoma"/>
      <w:i/>
      <w:iCs/>
      <w:color w:val="000000"/>
      <w:shd w:val="clear" w:color="auto" w:fill="FFFFCC"/>
    </w:rPr>
  </w:style>
  <w:style w:type="paragraph" w:customStyle="1" w:styleId="81">
    <w:name w:val="Citação1"/>
    <w:basedOn w:val="1"/>
    <w:next w:val="1"/>
    <w:link w:val="80"/>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2">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3">
    <w:name w:val="normaltextrun"/>
    <w:basedOn w:val="11"/>
    <w:qFormat/>
    <w:uiPriority w:val="0"/>
  </w:style>
  <w:style w:type="character" w:customStyle="1" w:styleId="84">
    <w:name w:val="eop"/>
    <w:basedOn w:val="11"/>
    <w:qFormat/>
    <w:uiPriority w:val="0"/>
  </w:style>
  <w:style w:type="character" w:customStyle="1" w:styleId="85">
    <w:name w:val="spellingerror"/>
    <w:basedOn w:val="11"/>
    <w:qFormat/>
    <w:uiPriority w:val="0"/>
  </w:style>
  <w:style w:type="character" w:customStyle="1" w:styleId="86">
    <w:name w:val="Corpo de texto Char"/>
    <w:basedOn w:val="11"/>
    <w:link w:val="21"/>
    <w:qFormat/>
    <w:uiPriority w:val="1"/>
    <w:rPr>
      <w:rFonts w:ascii="Times New Roman" w:hAnsi="Times New Roman" w:eastAsia="Times New Roman" w:cs="Times New Roman"/>
      <w:sz w:val="24"/>
      <w:szCs w:val="24"/>
      <w:lang w:eastAsia="pt-BR"/>
    </w:rPr>
  </w:style>
  <w:style w:type="paragraph" w:customStyle="1" w:styleId="87">
    <w:name w:val="Nivel1"/>
    <w:basedOn w:val="2"/>
    <w:link w:val="88"/>
    <w:qFormat/>
    <w:uiPriority w:val="0"/>
    <w:pPr>
      <w:spacing w:line="276" w:lineRule="auto"/>
      <w:ind w:left="357" w:hanging="357"/>
      <w:jc w:val="both"/>
    </w:pPr>
    <w:rPr>
      <w:rFonts w:ascii="Arial" w:hAnsi="Arial" w:cs="Arial"/>
      <w:bCs w:val="0"/>
      <w:color w:val="000000"/>
    </w:rPr>
  </w:style>
  <w:style w:type="character" w:customStyle="1" w:styleId="88">
    <w:name w:val="Nivel1 Char"/>
    <w:basedOn w:val="60"/>
    <w:link w:val="87"/>
    <w:qFormat/>
    <w:uiPriority w:val="0"/>
    <w:rPr>
      <w:rFonts w:ascii="Arial" w:hAnsi="Arial" w:cs="Arial" w:eastAsiaTheme="majorEastAsia"/>
      <w:bCs w:val="0"/>
      <w:color w:val="000000"/>
      <w:sz w:val="28"/>
      <w:szCs w:val="28"/>
      <w:lang w:eastAsia="pt-BR"/>
    </w:rPr>
  </w:style>
  <w:style w:type="paragraph" w:customStyle="1" w:styleId="89">
    <w:name w:val="Parágrafo da Lista1"/>
    <w:basedOn w:val="1"/>
    <w:qFormat/>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90">
    <w:name w:val="Nivel 1"/>
    <w:basedOn w:val="51"/>
    <w:next w:val="51"/>
    <w:qFormat/>
    <w:uiPriority w:val="0"/>
    <w:pPr>
      <w:ind w:left="360" w:hanging="360"/>
    </w:pPr>
    <w:rPr>
      <w:rFonts w:ascii="Arial" w:hAnsi="Arial" w:cs="Arial" w:eastAsiaTheme="minorEastAsia"/>
      <w:b/>
      <w:color w:val="000000"/>
      <w:sz w:val="20"/>
      <w:szCs w:val="20"/>
      <w:lang w:eastAsia="pt-BR"/>
    </w:rPr>
  </w:style>
  <w:style w:type="paragraph" w:customStyle="1" w:styleId="91">
    <w:name w:val="Nivel 5"/>
    <w:basedOn w:val="53"/>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2">
    <w:name w:val="textbody"/>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3">
    <w:name w:val="em_0020ementa"/>
    <w:basedOn w:val="1"/>
    <w:qFormat/>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4">
    <w:name w:val="cp_0020corpodespacho__char1"/>
    <w:qFormat/>
    <w:uiPriority w:val="0"/>
    <w:rPr>
      <w:rFonts w:hint="default" w:ascii="Times New Roman" w:hAnsi="Times New Roman" w:cs="Times New Roman"/>
      <w:sz w:val="26"/>
      <w:szCs w:val="26"/>
      <w:u w:val="none"/>
    </w:rPr>
  </w:style>
  <w:style w:type="character" w:customStyle="1" w:styleId="95">
    <w:name w:val="em_0020ementa__char1"/>
    <w:qFormat/>
    <w:uiPriority w:val="0"/>
    <w:rPr>
      <w:rFonts w:hint="default" w:ascii="Times New Roman" w:hAnsi="Times New Roman" w:cs="Times New Roman"/>
      <w:sz w:val="28"/>
      <w:szCs w:val="28"/>
      <w:u w:val="none"/>
    </w:rPr>
  </w:style>
  <w:style w:type="paragraph" w:customStyle="1" w:styleId="96">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7">
    <w:name w:val="Manoel"/>
    <w:qFormat/>
    <w:uiPriority w:val="0"/>
    <w:rPr>
      <w:rFonts w:ascii="Arial" w:hAnsi="Arial" w:cs="Arial"/>
      <w:color w:val="7030A0"/>
      <w:sz w:val="20"/>
    </w:rPr>
  </w:style>
  <w:style w:type="character" w:customStyle="1" w:styleId="98">
    <w:name w:val="ListLabel 12"/>
    <w:uiPriority w:val="0"/>
    <w:rPr>
      <w:b/>
    </w:rPr>
  </w:style>
  <w:style w:type="paragraph" w:customStyle="1" w:styleId="99">
    <w:name w:val="texto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0">
    <w:name w:val="Grade Colorida - Ênfase 11"/>
    <w:basedOn w:val="1"/>
    <w:next w:val="1"/>
    <w:link w:val="10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101">
    <w:name w:val="Grade Colorida - Ênfase 1 Char"/>
    <w:link w:val="100"/>
    <w:qFormat/>
    <w:uiPriority w:val="29"/>
    <w:rPr>
      <w:rFonts w:ascii="Arial" w:hAnsi="Arial" w:eastAsia="Calibri" w:cs="Times New Roman"/>
      <w:i/>
      <w:iCs/>
      <w:color w:val="000000"/>
      <w:sz w:val="20"/>
      <w:szCs w:val="24"/>
      <w:shd w:val="clear" w:color="auto" w:fill="FFFFCC"/>
    </w:rPr>
  </w:style>
  <w:style w:type="paragraph" w:customStyle="1" w:styleId="102">
    <w:name w:val="x_western"/>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3">
    <w:name w:val="TCU - Ac - item 9 - §§_0"/>
    <w:basedOn w:val="1"/>
    <w:qFormat/>
    <w:uiPriority w:val="0"/>
    <w:pPr>
      <w:spacing w:after="0" w:line="240" w:lineRule="auto"/>
      <w:ind w:firstLine="1134"/>
      <w:jc w:val="both"/>
    </w:pPr>
    <w:rPr>
      <w:rFonts w:ascii="Times New Roman" w:hAnsi="Times New Roman" w:eastAsia="Times New Roman" w:cs="Times New Roman"/>
      <w:sz w:val="24"/>
    </w:rPr>
  </w:style>
  <w:style w:type="paragraph" w:customStyle="1" w:styleId="104">
    <w:name w:val="Normal_1"/>
    <w:qFormat/>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5">
    <w:name w:val="tcu_-__ac_-_item_9_-_1ª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6">
    <w:name w:val="texto_justificado_recuo_primeira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highlight"/>
    <w:basedOn w:val="11"/>
    <w:qFormat/>
    <w:uiPriority w:val="0"/>
  </w:style>
  <w:style w:type="paragraph" w:customStyle="1" w:styleId="108">
    <w:name w:val="texto_justificad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9">
    <w:name w:val="Menção Pendente1"/>
    <w:basedOn w:val="11"/>
    <w:semiHidden/>
    <w:unhideWhenUsed/>
    <w:qFormat/>
    <w:uiPriority w:val="99"/>
    <w:rPr>
      <w:color w:val="605E5C"/>
      <w:shd w:val="clear" w:color="auto" w:fill="E1DFDD"/>
    </w:rPr>
  </w:style>
  <w:style w:type="character" w:customStyle="1" w:styleId="110">
    <w:name w:val="Menção Pendente2"/>
    <w:basedOn w:val="11"/>
    <w:semiHidden/>
    <w:unhideWhenUsed/>
    <w:qFormat/>
    <w:uiPriority w:val="99"/>
    <w:rPr>
      <w:color w:val="605E5C"/>
      <w:shd w:val="clear" w:color="auto" w:fill="E1DFDD"/>
    </w:rPr>
  </w:style>
  <w:style w:type="paragraph" w:customStyle="1" w:styleId="111">
    <w:name w:val="Nível 2 Opcional"/>
    <w:basedOn w:val="51"/>
    <w:link w:val="113"/>
    <w:qFormat/>
    <w:uiPriority w:val="0"/>
    <w:pPr>
      <w:ind w:left="432" w:hanging="432"/>
    </w:pPr>
    <w:rPr>
      <w:rFonts w:ascii="Arial" w:hAnsi="Arial" w:eastAsia="Times New Roman" w:cs="Arial"/>
      <w:i/>
      <w:color w:val="FF0000"/>
      <w:sz w:val="20"/>
      <w:szCs w:val="20"/>
      <w:lang w:eastAsia="pt-BR"/>
    </w:rPr>
  </w:style>
  <w:style w:type="paragraph" w:customStyle="1" w:styleId="112">
    <w:name w:val="Nível 3 Opcional"/>
    <w:basedOn w:val="52"/>
    <w:link w:val="114"/>
    <w:qFormat/>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3">
    <w:name w:val="Nível 2 Opcional Char"/>
    <w:basedOn w:val="11"/>
    <w:link w:val="111"/>
    <w:qFormat/>
    <w:uiPriority w:val="0"/>
    <w:rPr>
      <w:rFonts w:ascii="Arial" w:hAnsi="Arial" w:eastAsia="Times New Roman" w:cs="Arial"/>
      <w:i/>
      <w:color w:val="FF0000"/>
      <w:sz w:val="20"/>
      <w:szCs w:val="20"/>
      <w:lang w:eastAsia="pt-BR"/>
    </w:rPr>
  </w:style>
  <w:style w:type="character" w:customStyle="1" w:styleId="114">
    <w:name w:val="Nível 3 Opcional Char"/>
    <w:basedOn w:val="11"/>
    <w:link w:val="112"/>
    <w:qFormat/>
    <w:uiPriority w:val="0"/>
    <w:rPr>
      <w:rFonts w:ascii="Arial" w:hAnsi="Arial" w:eastAsia="Times New Roman" w:cs="Arial"/>
      <w:i/>
      <w:iCs/>
      <w:color w:val="FF0000"/>
      <w:sz w:val="20"/>
      <w:szCs w:val="20"/>
      <w:lang w:eastAsia="pt-BR"/>
    </w:rPr>
  </w:style>
  <w:style w:type="character" w:styleId="115">
    <w:name w:val="Placeholder Text"/>
    <w:basedOn w:val="11"/>
    <w:semiHidden/>
    <w:qFormat/>
    <w:uiPriority w:val="67"/>
    <w:rPr>
      <w:color w:val="808080"/>
    </w:rPr>
  </w:style>
  <w:style w:type="character" w:customStyle="1" w:styleId="116">
    <w:name w:val="Parágrafo da Lista Char"/>
    <w:basedOn w:val="11"/>
    <w:link w:val="65"/>
    <w:qFormat/>
    <w:uiPriority w:val="34"/>
    <w:rPr>
      <w:rFonts w:ascii="Ecofont_Spranq_eco_Sans" w:hAnsi="Ecofont_Spranq_eco_Sans" w:cs="Tahoma" w:eastAsiaTheme="minorEastAsia"/>
      <w:sz w:val="24"/>
      <w:szCs w:val="24"/>
      <w:lang w:eastAsia="pt-BR"/>
    </w:rPr>
  </w:style>
  <w:style w:type="paragraph" w:customStyle="1" w:styleId="117">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8">
    <w:name w:val="corp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0">
    <w:name w:val="item_nive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1">
    <w:name w:val="item_alinea_letr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2">
    <w:name w:val="markedcontent"/>
    <w:basedOn w:val="11"/>
    <w:qFormat/>
    <w:uiPriority w:val="0"/>
  </w:style>
  <w:style w:type="paragraph" w:customStyle="1" w:styleId="123">
    <w:name w:val="Standard"/>
    <w:qFormat/>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4">
    <w:name w:val="Text body"/>
    <w:basedOn w:val="123"/>
    <w:qFormat/>
    <w:uiPriority w:val="0"/>
    <w:pPr>
      <w:spacing w:after="140" w:line="276" w:lineRule="auto"/>
    </w:pPr>
  </w:style>
  <w:style w:type="character" w:customStyle="1" w:styleId="125">
    <w:name w:val="Menção Pendente3"/>
    <w:basedOn w:val="11"/>
    <w:semiHidden/>
    <w:unhideWhenUsed/>
    <w:qFormat/>
    <w:uiPriority w:val="99"/>
    <w:rPr>
      <w:color w:val="605E5C"/>
      <w:shd w:val="clear" w:color="auto" w:fill="E1DFDD"/>
    </w:rPr>
  </w:style>
  <w:style w:type="character" w:customStyle="1" w:styleId="126">
    <w:name w:val="Menção Pendente4"/>
    <w:basedOn w:val="11"/>
    <w:semiHidden/>
    <w:unhideWhenUsed/>
    <w:qFormat/>
    <w:uiPriority w:val="99"/>
    <w:rPr>
      <w:color w:val="605E5C"/>
      <w:shd w:val="clear" w:color="auto" w:fill="E1DFDD"/>
    </w:rPr>
  </w:style>
  <w:style w:type="paragraph" w:customStyle="1" w:styleId="127">
    <w:name w:val="ou"/>
    <w:basedOn w:val="65"/>
    <w:link w:val="128"/>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8">
    <w:name w:val="ou Char"/>
    <w:basedOn w:val="116"/>
    <w:link w:val="127"/>
    <w:qFormat/>
    <w:uiPriority w:val="0"/>
    <w:rPr>
      <w:rFonts w:ascii="Arial" w:hAnsi="Arial" w:cs="Arial" w:eastAsiaTheme="minorEastAsia"/>
      <w:b/>
      <w:bCs/>
      <w:i/>
      <w:iCs/>
      <w:color w:val="FF0000"/>
      <w:sz w:val="24"/>
      <w:szCs w:val="24"/>
      <w:u w:val="single"/>
      <w:lang w:eastAsia="pt-BR"/>
    </w:rPr>
  </w:style>
  <w:style w:type="paragraph" w:customStyle="1" w:styleId="129">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30">
    <w:name w:val="Nível 4-R"/>
    <w:basedOn w:val="53"/>
    <w:link w:val="132"/>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31">
    <w:name w:val="Nível 1-Sem Num"/>
    <w:basedOn w:val="74"/>
    <w:link w:val="133"/>
    <w:qFormat/>
    <w:uiPriority w:val="0"/>
    <w:pPr>
      <w:ind w:left="0" w:firstLine="0"/>
      <w:outlineLvl w:val="1"/>
    </w:pPr>
    <w:rPr>
      <w:color w:val="FF0000"/>
    </w:rPr>
  </w:style>
  <w:style w:type="character" w:customStyle="1" w:styleId="132">
    <w:name w:val="Nível 4-R Char"/>
    <w:basedOn w:val="57"/>
    <w:link w:val="130"/>
    <w:qFormat/>
    <w:uiPriority w:val="0"/>
    <w:rPr>
      <w:rFonts w:ascii="Arial" w:hAnsi="Arial" w:cs="Arial" w:eastAsiaTheme="minorEastAsia"/>
      <w:i/>
      <w:iCs/>
      <w:color w:val="FF0000"/>
      <w:sz w:val="20"/>
      <w:szCs w:val="20"/>
      <w:lang w:eastAsia="pt-BR"/>
    </w:rPr>
  </w:style>
  <w:style w:type="character" w:customStyle="1" w:styleId="133">
    <w:name w:val="Nível 1-Sem Num Char"/>
    <w:basedOn w:val="77"/>
    <w:link w:val="131"/>
    <w:qFormat/>
    <w:uiPriority w:val="0"/>
    <w:rPr>
      <w:rFonts w:ascii="Arial" w:hAnsi="Arial" w:eastAsia="Arial" w:cs="Arial"/>
      <w:color w:val="FF0000"/>
      <w:spacing w:val="5"/>
      <w:kern w:val="28"/>
      <w:sz w:val="20"/>
      <w:szCs w:val="20"/>
      <w:lang w:eastAsia="pt-BR"/>
    </w:rPr>
  </w:style>
  <w:style w:type="paragraph" w:customStyle="1" w:styleId="134">
    <w:name w:val="citação 2"/>
    <w:basedOn w:val="69"/>
    <w:link w:val="138"/>
    <w:qFormat/>
    <w:uiPriority w:val="0"/>
    <w:pPr>
      <w:overflowPunct w:val="0"/>
    </w:pPr>
    <w:rPr>
      <w:szCs w:val="20"/>
    </w:rPr>
  </w:style>
  <w:style w:type="paragraph" w:customStyle="1" w:styleId="135">
    <w:name w:val="Preâmbulo"/>
    <w:basedOn w:val="1"/>
    <w:link w:val="136"/>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6">
    <w:name w:val="Preâmbulo Char"/>
    <w:basedOn w:val="11"/>
    <w:link w:val="135"/>
    <w:qFormat/>
    <w:uiPriority w:val="0"/>
    <w:rPr>
      <w:rFonts w:ascii="Arial" w:hAnsi="Arial" w:eastAsia="Arial" w:cs="Arial"/>
      <w:bCs/>
      <w:sz w:val="20"/>
      <w:szCs w:val="20"/>
      <w:lang w:eastAsia="pt-BR"/>
    </w:rPr>
  </w:style>
  <w:style w:type="character" w:customStyle="1" w:styleId="137">
    <w:name w:val="Menção Pendente5"/>
    <w:basedOn w:val="11"/>
    <w:semiHidden/>
    <w:unhideWhenUsed/>
    <w:uiPriority w:val="99"/>
    <w:rPr>
      <w:color w:val="605E5C"/>
      <w:shd w:val="clear" w:color="auto" w:fill="E1DFDD"/>
    </w:rPr>
  </w:style>
  <w:style w:type="character" w:customStyle="1" w:styleId="138">
    <w:name w:val="citação 2 Char"/>
    <w:basedOn w:val="70"/>
    <w:link w:val="134"/>
    <w:uiPriority w:val="0"/>
    <w:rPr>
      <w:rFonts w:ascii="Arial" w:hAnsi="Arial" w:eastAsia="Calibri" w:cs="Tahoma"/>
      <w:color w:val="000000"/>
      <w:sz w:val="20"/>
      <w:szCs w:val="20"/>
      <w:shd w:val="clear" w:color="auto" w:fill="FFFFCC"/>
    </w:rPr>
  </w:style>
  <w:style w:type="paragraph" w:customStyle="1" w:styleId="139">
    <w:name w:val="TOC Heading"/>
    <w:basedOn w:val="2"/>
    <w:next w:val="1"/>
    <w:unhideWhenUsed/>
    <w:qFormat/>
    <w:uiPriority w:val="39"/>
    <w:pPr>
      <w:spacing w:before="240" w:line="259" w:lineRule="auto"/>
      <w:outlineLvl w:val="9"/>
    </w:pPr>
    <w:rPr>
      <w:b w:val="0"/>
      <w:bCs w:val="0"/>
      <w:sz w:val="32"/>
      <w:szCs w:val="32"/>
    </w:rPr>
  </w:style>
  <w:style w:type="character" w:customStyle="1" w:styleId="140">
    <w:name w:val="Menção Pendente6"/>
    <w:basedOn w:val="11"/>
    <w:semiHidden/>
    <w:unhideWhenUsed/>
    <w:uiPriority w:val="99"/>
    <w:rPr>
      <w:color w:val="605E5C"/>
      <w:shd w:val="clear" w:color="auto" w:fill="E1DFDD"/>
    </w:rPr>
  </w:style>
  <w:style w:type="character" w:customStyle="1" w:styleId="141">
    <w:name w:val="Mention non résolue1"/>
    <w:basedOn w:val="11"/>
    <w:semiHidden/>
    <w:unhideWhenUsed/>
    <w:uiPriority w:val="99"/>
    <w:rPr>
      <w:color w:val="605E5C"/>
      <w:shd w:val="clear" w:color="auto" w:fill="E1DFDD"/>
    </w:rPr>
  </w:style>
  <w:style w:type="paragraph" w:customStyle="1" w:styleId="142">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3">
    <w:name w:val="Unresolved Mention"/>
    <w:basedOn w:val="11"/>
    <w:semiHidden/>
    <w:unhideWhenUsed/>
    <w:qFormat/>
    <w:uiPriority w:val="99"/>
    <w:rPr>
      <w:color w:val="605E5C"/>
      <w:shd w:val="clear" w:color="auto" w:fill="E1DFDD"/>
    </w:rPr>
  </w:style>
  <w:style w:type="character" w:customStyle="1" w:styleId="144">
    <w:name w:val="findhit"/>
    <w:basedOn w:val="11"/>
    <w:qFormat/>
    <w:uiPriority w:val="0"/>
  </w:style>
  <w:style w:type="paragraph" w:customStyle="1" w:styleId="145">
    <w:name w:val="Nível 1-Sem Num Preto"/>
    <w:basedOn w:val="131"/>
    <w:link w:val="146"/>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6">
    <w:name w:val="Nível 1-Sem Num Preto Char"/>
    <w:basedOn w:val="133"/>
    <w:link w:val="145"/>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7">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8">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9">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50">
    <w:name w:val="object"/>
    <w:basedOn w:val="11"/>
    <w:qFormat/>
    <w:uiPriority w:val="0"/>
  </w:style>
  <w:style w:type="character" w:customStyle="1" w:styleId="151">
    <w:name w:val="linkdainternet"/>
    <w:basedOn w:val="11"/>
    <w:qFormat/>
    <w:uiPriority w:val="0"/>
  </w:style>
  <w:style w:type="character" w:customStyle="1" w:styleId="152">
    <w:name w:val="object-hover"/>
    <w:basedOn w:val="11"/>
    <w:qFormat/>
    <w:uiPriority w:val="0"/>
  </w:style>
  <w:style w:type="table" w:customStyle="1" w:styleId="153">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4">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5">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6">
    <w:name w:val="Nível 02"/>
    <w:basedOn w:val="155"/>
    <w:link w:val="157"/>
    <w:autoRedefine/>
    <w:qFormat/>
    <w:uiPriority w:val="0"/>
    <w:pPr>
      <w:shd w:val="clear" w:color="auto" w:fill="auto"/>
    </w:pPr>
    <w:rPr>
      <w:i w:val="0"/>
      <w:iCs/>
      <w:color w:val="auto"/>
    </w:rPr>
  </w:style>
  <w:style w:type="character" w:customStyle="1" w:styleId="157">
    <w:name w:val="Nível 02 Char"/>
    <w:basedOn w:val="11"/>
    <w:link w:val="156"/>
    <w:qFormat/>
    <w:uiPriority w:val="0"/>
    <w:rPr>
      <w:rFonts w:ascii="Arial" w:hAnsi="Arial" w:eastAsia="Arial" w:cs="Arial"/>
      <w:iCs/>
      <w:sz w:val="20"/>
      <w:szCs w:val="20"/>
      <w:lang w:eastAsia="pt-BR"/>
    </w:rPr>
  </w:style>
  <w:style w:type="character" w:customStyle="1" w:styleId="158">
    <w:name w:val="WW8Num1z0"/>
    <w:qFormat/>
    <w:uiPriority w:val="0"/>
    <w:rPr>
      <w:rFonts w:hint="default"/>
    </w:rPr>
  </w:style>
  <w:style w:type="paragraph" w:customStyle="1" w:styleId="159">
    <w:name w:val="Nível 1-Sem Numeração"/>
    <w:basedOn w:val="131"/>
    <w:link w:val="160"/>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60">
    <w:name w:val="Nível 1-Sem Numeração Char"/>
    <w:basedOn w:val="133"/>
    <w:link w:val="159"/>
    <w:qFormat/>
    <w:uiPriority w:val="0"/>
    <w:rPr>
      <w:rFonts w:ascii="Arial" w:hAnsi="Arial" w:eastAsia="Arial" w:cs="Arial"/>
      <w:bCs w:val="0"/>
      <w:iCs w:val="0"/>
      <w:color w:val="FF0000"/>
      <w:spacing w:val="5"/>
      <w:kern w:val="28"/>
      <w:sz w:val="20"/>
      <w:szCs w:val="20"/>
      <w:lang w:eastAsia="pt-BR"/>
    </w:rPr>
  </w:style>
  <w:style w:type="paragraph" w:customStyle="1" w:styleId="161">
    <w:name w:val="Nível 2-Opcional"/>
    <w:basedOn w:val="156"/>
    <w:link w:val="162"/>
    <w:qFormat/>
    <w:uiPriority w:val="0"/>
    <w:pPr>
      <w:numPr>
        <w:numId w:val="4"/>
      </w:numPr>
      <w:ind w:left="0" w:firstLine="0"/>
    </w:pPr>
    <w:rPr>
      <w:i/>
      <w:color w:val="FF0000"/>
    </w:rPr>
  </w:style>
  <w:style w:type="character" w:customStyle="1" w:styleId="162">
    <w:name w:val="Nível 2-Opcional Char"/>
    <w:basedOn w:val="157"/>
    <w:link w:val="161"/>
    <w:qFormat/>
    <w:uiPriority w:val="0"/>
    <w:rPr>
      <w:rFonts w:ascii="Arial" w:hAnsi="Arial" w:eastAsia="Arial" w:cs="Arial"/>
      <w:i/>
      <w:color w:val="FF0000"/>
      <w:sz w:val="20"/>
      <w:szCs w:val="20"/>
      <w:lang w:eastAsia="pt-BR"/>
    </w:rPr>
  </w:style>
  <w:style w:type="paragraph" w:customStyle="1" w:styleId="163">
    <w:name w:val="Nível 3-Opcional"/>
    <w:basedOn w:val="52"/>
    <w:link w:val="164"/>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4">
    <w:name w:val="Nível 3-Opcional Char"/>
    <w:basedOn w:val="54"/>
    <w:link w:val="163"/>
    <w:qFormat/>
    <w:uiPriority w:val="0"/>
    <w:rPr>
      <w:rFonts w:ascii="Arial" w:hAnsi="Arial" w:cs="Tahoma" w:eastAsiaTheme="minorEastAsia"/>
      <w:i/>
      <w:color w:val="FF0000"/>
      <w:sz w:val="20"/>
      <w:szCs w:val="24"/>
      <w:lang w:eastAsia="pt-BR"/>
    </w:rPr>
  </w:style>
  <w:style w:type="paragraph" w:customStyle="1" w:styleId="165">
    <w:name w:val="Nível 4"/>
    <w:basedOn w:val="1"/>
    <w:link w:val="168"/>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6">
    <w:name w:val="Nível 3"/>
    <w:basedOn w:val="55"/>
    <w:link w:val="167"/>
    <w:qFormat/>
    <w:uiPriority w:val="0"/>
    <w:pPr>
      <w:numPr>
        <w:numId w:val="6"/>
      </w:numPr>
    </w:pPr>
    <w:rPr>
      <w:rFonts w:eastAsia="Times New Roman"/>
      <w:i w:val="0"/>
      <w:iCs w:val="0"/>
      <w:sz w:val="24"/>
      <w:szCs w:val="20"/>
      <w:lang w:eastAsia="pt-BR"/>
    </w:rPr>
  </w:style>
  <w:style w:type="character" w:customStyle="1" w:styleId="167">
    <w:name w:val="Nível 3 Char"/>
    <w:basedOn w:val="56"/>
    <w:link w:val="166"/>
    <w:uiPriority w:val="0"/>
    <w:rPr>
      <w:rFonts w:ascii="Arial" w:hAnsi="Arial" w:eastAsia="Times New Roman" w:cs="Arial"/>
      <w:i w:val="0"/>
      <w:iCs w:val="0"/>
      <w:color w:val="FF0000"/>
      <w:sz w:val="24"/>
      <w:szCs w:val="20"/>
      <w:lang w:eastAsia="pt-BR"/>
    </w:rPr>
  </w:style>
  <w:style w:type="character" w:customStyle="1" w:styleId="168">
    <w:name w:val="Nível 4 Char"/>
    <w:basedOn w:val="167"/>
    <w:link w:val="165"/>
    <w:uiPriority w:val="0"/>
    <w:rPr>
      <w:rFonts w:ascii="Arial" w:hAnsi="Arial" w:eastAsia="Times New Roman" w:cs="Arial"/>
      <w:color w:val="FF0000"/>
      <w:sz w:val="20"/>
      <w:szCs w:val="20"/>
      <w:lang w:eastAsia="pt-BR"/>
    </w:rPr>
  </w:style>
  <w:style w:type="paragraph" w:customStyle="1" w:styleId="169">
    <w:name w:val="Normal2"/>
    <w:uiPriority w:val="0"/>
    <w:pPr>
      <w:spacing w:after="160" w:line="259" w:lineRule="auto"/>
    </w:pPr>
    <w:rPr>
      <w:rFonts w:ascii="Calibri" w:hAnsi="Calibri" w:eastAsia="Calibri" w:cs="Calibri"/>
      <w:sz w:val="22"/>
      <w:szCs w:val="22"/>
      <w:lang w:val="pt-BR" w:eastAsia="pt-BR" w:bidi="ar-SA"/>
    </w:rPr>
  </w:style>
  <w:style w:type="character" w:customStyle="1" w:styleId="170">
    <w:name w:val="Título 5 Char"/>
    <w:basedOn w:val="11"/>
    <w:link w:val="6"/>
    <w:semiHidden/>
    <w:uiPriority w:val="9"/>
    <w:rPr>
      <w:rFonts w:ascii="Calibri" w:hAnsi="Calibri" w:eastAsiaTheme="majorEastAsia" w:cstheme="majorBidi"/>
      <w:color w:val="2E75B6" w:themeColor="accent1" w:themeShade="BF"/>
      <w:lang w:val="pt-PT"/>
    </w:rPr>
  </w:style>
  <w:style w:type="character" w:customStyle="1" w:styleId="171">
    <w:name w:val="Título 7 Char"/>
    <w:basedOn w:val="11"/>
    <w:link w:val="8"/>
    <w:semiHidden/>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2">
    <w:name w:val="Título 8 Char"/>
    <w:basedOn w:val="11"/>
    <w:link w:val="9"/>
    <w:semiHidden/>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3">
    <w:name w:val="Título 9 Char"/>
    <w:basedOn w:val="11"/>
    <w:link w:val="10"/>
    <w:semiHidden/>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4">
    <w:name w:val="Subtítulo Char"/>
    <w:basedOn w:val="11"/>
    <w:link w:val="37"/>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5">
    <w:name w:val="Intense Emphasis"/>
    <w:basedOn w:val="11"/>
    <w:qFormat/>
    <w:uiPriority w:val="21"/>
    <w:rPr>
      <w:i/>
      <w:iCs/>
      <w:color w:val="2E75B6" w:themeColor="accent1" w:themeShade="BF"/>
    </w:rPr>
  </w:style>
  <w:style w:type="paragraph" w:styleId="176">
    <w:name w:val="Intense Quote"/>
    <w:basedOn w:val="1"/>
    <w:next w:val="1"/>
    <w:link w:val="177"/>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7">
    <w:name w:val="Citação Intensa Char"/>
    <w:basedOn w:val="11"/>
    <w:link w:val="176"/>
    <w:uiPriority w:val="30"/>
    <w:rPr>
      <w:rFonts w:ascii="Calibri" w:hAnsi="Calibri" w:eastAsia="Calibri" w:cs="Calibri"/>
      <w:i/>
      <w:iCs/>
      <w:color w:val="2E75B6" w:themeColor="accent1" w:themeShade="BF"/>
      <w:lang w:val="pt-PT"/>
    </w:rPr>
  </w:style>
  <w:style w:type="character" w:customStyle="1" w:styleId="178">
    <w:name w:val="Intense Reference"/>
    <w:basedOn w:val="11"/>
    <w:qFormat/>
    <w:uiPriority w:val="32"/>
    <w:rPr>
      <w:b/>
      <w:bCs/>
      <w:smallCaps/>
      <w:color w:val="2E75B6" w:themeColor="accent1" w:themeShade="BF"/>
      <w:spacing w:val="5"/>
    </w:rPr>
  </w:style>
  <w:style w:type="paragraph" w:customStyle="1" w:styleId="179">
    <w:name w:val="texto_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fontstyle01"/>
    <w:qFormat/>
    <w:uiPriority w:val="0"/>
    <w:rPr>
      <w:rFonts w:hint="default" w:ascii="Rawline-Regular" w:hAnsi="Rawline-Regular"/>
      <w:color w:val="555555"/>
      <w:sz w:val="22"/>
      <w:szCs w:val="22"/>
    </w:rPr>
  </w:style>
  <w:style w:type="paragraph" w:customStyle="1" w:styleId="181">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2">
    <w:name w:val="ng-star-inserted"/>
    <w:qFormat/>
    <w:uiPriority w:val="0"/>
  </w:style>
  <w:style w:type="character" w:customStyle="1" w:styleId="183">
    <w:name w:val="sr-only"/>
    <w:qFormat/>
    <w:uiPriority w:val="0"/>
  </w:style>
  <w:style w:type="character" w:customStyle="1" w:styleId="184">
    <w:name w:val="WW8Num10z0"/>
    <w:qFormat/>
    <w:uiPriority w:val="0"/>
    <w:rPr>
      <w:rFonts w:hint="default"/>
      <w:color w:val="000000"/>
    </w:rPr>
  </w:style>
  <w:style w:type="table" w:customStyle="1" w:styleId="185">
    <w:name w:val="Tabela com grade1"/>
    <w:basedOn w:val="12"/>
    <w:qFormat/>
    <w:uiPriority w:val="59"/>
    <w:pPr>
      <w:widowControl w:val="0"/>
      <w:autoSpaceDE w:val="0"/>
      <w:autoSpaceDN w:val="0"/>
      <w:spacing w:after="0" w:line="240" w:lineRule="auto"/>
    </w:pPr>
    <w:rPr>
      <w:sz w:val="20"/>
      <w:szCs w:val="20"/>
      <w:lang w:val="en-US" w:eastAsia="pt-B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6">
    <w:name w:val="Título 11"/>
    <w:basedOn w:val="1"/>
    <w:next w:val="1"/>
    <w:qFormat/>
    <w:uiPriority w:val="1"/>
    <w:pPr>
      <w:widowControl w:val="0"/>
      <w:suppressAutoHyphens/>
      <w:spacing w:before="100" w:after="0" w:line="240" w:lineRule="auto"/>
      <w:ind w:left="2169" w:hanging="709"/>
      <w:outlineLvl w:val="1"/>
    </w:pPr>
    <w:rPr>
      <w:rFonts w:ascii="Tahoma" w:hAnsi="Tahoma" w:eastAsia="Tahoma" w:cs="Tahoma"/>
      <w:b/>
      <w:bCs/>
      <w:sz w:val="18"/>
      <w:szCs w:val="18"/>
      <w:lang w:val="pt-PT"/>
    </w:rPr>
  </w:style>
  <w:style w:type="paragraph" w:customStyle="1" w:styleId="187">
    <w:name w:val="Título 21"/>
    <w:basedOn w:val="1"/>
    <w:next w:val="1"/>
    <w:qFormat/>
    <w:uiPriority w:val="0"/>
    <w:pPr>
      <w:keepNext/>
      <w:tabs>
        <w:tab w:val="left" w:pos="1701"/>
      </w:tabs>
      <w:suppressAutoHyphens/>
      <w:spacing w:after="0" w:line="240" w:lineRule="auto"/>
      <w:ind w:right="-1"/>
      <w:jc w:val="center"/>
      <w:outlineLvl w:val="1"/>
    </w:pPr>
    <w:rPr>
      <w:rFonts w:ascii="Times New Roman" w:hAnsi="Times New Roman" w:eastAsia="MS Mincho" w:cs="Times New Roman"/>
      <w:b/>
      <w:color w:val="000000"/>
      <w:sz w:val="24"/>
      <w:szCs w:val="20"/>
    </w:rPr>
  </w:style>
  <w:style w:type="paragraph" w:customStyle="1" w:styleId="188">
    <w:name w:val="Título 31"/>
    <w:basedOn w:val="1"/>
    <w:next w:val="1"/>
    <w:semiHidden/>
    <w:unhideWhenUsed/>
    <w:qFormat/>
    <w:uiPriority w:val="9"/>
    <w:pPr>
      <w:keepNext/>
      <w:keepLines/>
      <w:suppressAutoHyphens/>
      <w:spacing w:before="40" w:after="0"/>
      <w:outlineLvl w:val="2"/>
    </w:pPr>
    <w:rPr>
      <w:rFonts w:ascii="Calibri" w:hAnsi="Calibri" w:eastAsia="MS Gothic" w:cs="Times New Roman"/>
      <w:color w:val="243F60"/>
      <w:sz w:val="24"/>
      <w:szCs w:val="24"/>
    </w:rPr>
  </w:style>
  <w:style w:type="paragraph" w:customStyle="1" w:styleId="189">
    <w:name w:val="Título 41"/>
    <w:basedOn w:val="1"/>
    <w:next w:val="1"/>
    <w:semiHidden/>
    <w:unhideWhenUsed/>
    <w:qFormat/>
    <w:uiPriority w:val="0"/>
    <w:pPr>
      <w:keepNext/>
      <w:keepLines/>
      <w:suppressAutoHyphens/>
      <w:spacing w:before="40" w:after="0" w:line="240" w:lineRule="auto"/>
      <w:outlineLvl w:val="3"/>
    </w:pPr>
    <w:rPr>
      <w:rFonts w:ascii="Calibri" w:hAnsi="Calibri" w:eastAsia="MS Gothic" w:cs="Times New Roman"/>
      <w:i/>
      <w:iCs/>
      <w:color w:val="365F91"/>
      <w:sz w:val="24"/>
      <w:szCs w:val="24"/>
      <w:lang w:eastAsia="pt-BR"/>
    </w:rPr>
  </w:style>
  <w:style w:type="paragraph" w:customStyle="1" w:styleId="190">
    <w:name w:val="Título 61"/>
    <w:basedOn w:val="1"/>
    <w:next w:val="1"/>
    <w:semiHidden/>
    <w:unhideWhenUsed/>
    <w:qFormat/>
    <w:uiPriority w:val="9"/>
    <w:pPr>
      <w:keepNext/>
      <w:keepLines/>
      <w:suppressAutoHyphens/>
      <w:spacing w:before="40" w:after="0"/>
      <w:outlineLvl w:val="5"/>
    </w:pPr>
    <w:rPr>
      <w:rFonts w:ascii="Calibri" w:hAnsi="Calibri" w:eastAsia="MS Gothic" w:cs="Times New Roman"/>
      <w:color w:val="243F60"/>
    </w:rPr>
  </w:style>
  <w:style w:type="character" w:customStyle="1" w:styleId="191">
    <w:name w:val="Hyperlink1"/>
    <w:unhideWhenUsed/>
    <w:qFormat/>
    <w:uiPriority w:val="99"/>
    <w:rPr>
      <w:color w:val="0000FF"/>
      <w:u w:val="single"/>
    </w:rPr>
  </w:style>
  <w:style w:type="character" w:customStyle="1" w:styleId="192">
    <w:name w:val="Citação Char1"/>
    <w:basedOn w:val="11"/>
    <w:uiPriority w:val="29"/>
    <w:rPr>
      <w:i/>
      <w:iCs/>
      <w:color w:val="404040" w:themeColor="text1" w:themeTint="BF"/>
      <w14:textFill>
        <w14:solidFill>
          <w14:schemeClr w14:val="tx1">
            <w14:lumMod w14:val="75000"/>
            <w14:lumOff w14:val="25000"/>
          </w14:schemeClr>
        </w14:solidFill>
      </w14:textFill>
    </w:rPr>
  </w:style>
  <w:style w:type="paragraph" w:customStyle="1" w:styleId="193">
    <w:name w:val="Cabeçalho1"/>
    <w:basedOn w:val="1"/>
    <w:qFormat/>
    <w:uiPriority w:val="0"/>
    <w:pPr>
      <w:tabs>
        <w:tab w:val="center" w:pos="4252"/>
        <w:tab w:val="right" w:pos="8504"/>
      </w:tabs>
      <w:suppressAutoHyphens/>
      <w:spacing w:after="0" w:line="240" w:lineRule="auto"/>
    </w:pPr>
    <w:rPr>
      <w:rFonts w:ascii="Ecofont_Spranq_eco_Sans" w:hAnsi="Ecofont_Spranq_eco_Sans" w:eastAsia="MS Mincho" w:cs="Times New Roman"/>
      <w:sz w:val="24"/>
      <w:szCs w:val="24"/>
    </w:rPr>
  </w:style>
  <w:style w:type="paragraph" w:customStyle="1" w:styleId="194">
    <w:name w:val="Rodapé1"/>
    <w:basedOn w:val="1"/>
    <w:qFormat/>
    <w:uiPriority w:val="99"/>
    <w:pPr>
      <w:tabs>
        <w:tab w:val="center" w:pos="4252"/>
        <w:tab w:val="right" w:pos="8504"/>
      </w:tabs>
      <w:suppressAutoHyphens/>
      <w:spacing w:after="0" w:line="240" w:lineRule="auto"/>
    </w:pPr>
    <w:rPr>
      <w:rFonts w:ascii="Ecofont_Spranq_eco_Sans" w:hAnsi="Ecofont_Spranq_eco_Sans" w:eastAsia="MS Mincho" w:cs="Times New Roman"/>
      <w:sz w:val="24"/>
      <w:szCs w:val="24"/>
    </w:rPr>
  </w:style>
  <w:style w:type="character" w:customStyle="1" w:styleId="195">
    <w:name w:val="ui-provider"/>
    <w:basedOn w:val="11"/>
    <w:qFormat/>
    <w:uiPriority w:val="0"/>
  </w:style>
  <w:style w:type="paragraph" w:customStyle="1" w:styleId="196">
    <w:name w:val="Legenda1"/>
    <w:basedOn w:val="1"/>
    <w:qFormat/>
    <w:uiPriority w:val="0"/>
    <w:pPr>
      <w:suppressLineNumbers/>
      <w:suppressAutoHyphens/>
      <w:spacing w:before="120" w:after="120"/>
    </w:pPr>
    <w:rPr>
      <w:rFonts w:cs="Lucida Sans"/>
      <w:i/>
      <w:iCs/>
      <w:sz w:val="24"/>
      <w:szCs w:val="24"/>
    </w:rPr>
  </w:style>
  <w:style w:type="paragraph" w:customStyle="1" w:styleId="197">
    <w:name w:val="Índice"/>
    <w:basedOn w:val="1"/>
    <w:qFormat/>
    <w:uiPriority w:val="0"/>
    <w:pPr>
      <w:suppressLineNumbers/>
      <w:suppressAutoHyphens/>
    </w:pPr>
    <w:rPr>
      <w:rFonts w:cs="Lucida Sans"/>
    </w:rPr>
  </w:style>
  <w:style w:type="paragraph" w:customStyle="1" w:styleId="198">
    <w:name w:val="Cabeçalho e Rodapé"/>
    <w:basedOn w:val="1"/>
    <w:qFormat/>
    <w:uiPriority w:val="0"/>
    <w:pPr>
      <w:suppressAutoHyphens/>
    </w:pPr>
  </w:style>
  <w:style w:type="paragraph" w:customStyle="1" w:styleId="199">
    <w:name w:val="Revisão1"/>
    <w:semiHidden/>
    <w:qFormat/>
    <w:uiPriority w:val="99"/>
    <w:pPr>
      <w:suppressAutoHyphens/>
      <w:spacing w:after="0" w:line="240" w:lineRule="auto"/>
    </w:pPr>
    <w:rPr>
      <w:rFonts w:ascii="Ecofont_Spranq_eco_Sans" w:hAnsi="Ecofont_Spranq_eco_Sans" w:eastAsia="Times New Roman" w:cs="Tahoma"/>
      <w:sz w:val="24"/>
      <w:szCs w:val="24"/>
      <w:lang w:val="pt-BR" w:eastAsia="pt-BR" w:bidi="ar-SA"/>
    </w:rPr>
  </w:style>
  <w:style w:type="paragraph" w:customStyle="1" w:styleId="200">
    <w:name w:val="xl27"/>
    <w:basedOn w:val="1"/>
    <w:qFormat/>
    <w:uiPriority w:val="0"/>
    <w:pPr>
      <w:pBdr>
        <w:bottom w:val="single" w:color="000000" w:sz="4" w:space="0"/>
      </w:pBdr>
      <w:suppressAutoHyphens/>
      <w:spacing w:before="100" w:after="100" w:line="240" w:lineRule="auto"/>
      <w:jc w:val="center"/>
      <w:textAlignment w:val="center"/>
    </w:pPr>
    <w:rPr>
      <w:rFonts w:ascii="Arial" w:hAnsi="Arial" w:eastAsia="Arial Unicode MS" w:cs="Arial"/>
      <w:b/>
      <w:bCs/>
      <w:sz w:val="16"/>
      <w:szCs w:val="16"/>
      <w:lang w:eastAsia="ar-SA"/>
    </w:rPr>
  </w:style>
  <w:style w:type="paragraph" w:customStyle="1" w:styleId="201">
    <w:name w:val="Conteúdo do quadro"/>
    <w:basedOn w:val="1"/>
    <w:qFormat/>
    <w:uiPriority w:val="0"/>
    <w:pPr>
      <w:suppressAutoHyphens/>
    </w:pPr>
  </w:style>
  <w:style w:type="paragraph" w:customStyle="1" w:styleId="202">
    <w:name w:val="Conteúdo da tabela"/>
    <w:basedOn w:val="1"/>
    <w:qFormat/>
    <w:uiPriority w:val="0"/>
    <w:pPr>
      <w:widowControl w:val="0"/>
      <w:suppressLineNumbers/>
      <w:suppressAutoHyphens/>
    </w:pPr>
  </w:style>
  <w:style w:type="paragraph" w:customStyle="1" w:styleId="203">
    <w:name w:val="Título de tabela"/>
    <w:basedOn w:val="202"/>
    <w:qFormat/>
    <w:uiPriority w:val="0"/>
    <w:pPr>
      <w:jc w:val="center"/>
    </w:pPr>
    <w:rPr>
      <w:b/>
      <w:bCs/>
    </w:rPr>
  </w:style>
  <w:style w:type="table" w:customStyle="1" w:styleId="204">
    <w:name w:val="Tabela com grade2"/>
    <w:basedOn w:val="12"/>
    <w:qFormat/>
    <w:uiPriority w:val="39"/>
    <w:pPr>
      <w:spacing w:after="0" w:line="240" w:lineRule="auto"/>
    </w:pPr>
    <w:rPr>
      <w:rFonts w:ascii="Times New Roman" w:hAnsi="Times New Roman" w:eastAsia="SimSun" w:cs="Times New Roman"/>
      <w:sz w:val="20"/>
      <w:szCs w:val="20"/>
      <w:lang w:eastAsia="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ela com grade11"/>
    <w:basedOn w:val="12"/>
    <w:qFormat/>
    <w:uiPriority w:val="59"/>
    <w:pPr>
      <w:spacing w:after="0" w:line="240" w:lineRule="auto"/>
    </w:pPr>
    <w:rPr>
      <w:rFonts w:ascii="Times New Roman" w:hAnsi="Times New Roman" w:eastAsia="SimSun" w:cs="Times New Roman"/>
      <w:sz w:val="20"/>
      <w:szCs w:val="20"/>
      <w:lang w:eastAsia="pt-B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LEVEL 1"/>
    <w:basedOn w:val="65"/>
    <w:qFormat/>
    <w:uiPriority w:val="0"/>
    <w:pPr>
      <w:numPr>
        <w:ilvl w:val="0"/>
        <w:numId w:val="7"/>
      </w:numPr>
      <w:shd w:val="clear" w:color="auto" w:fill="D8D8D8" w:themeFill="background1" w:themeFillShade="D9"/>
      <w:spacing w:before="120" w:after="120"/>
    </w:pPr>
    <w:rPr>
      <w:rFonts w:ascii="Tahoma" w:hAnsi="Tahoma" w:eastAsia="MS Mincho"/>
      <w:b/>
      <w:sz w:val="18"/>
      <w:szCs w:val="18"/>
    </w:rPr>
  </w:style>
  <w:style w:type="paragraph" w:customStyle="1" w:styleId="207">
    <w:name w:val="LEVEL 2"/>
    <w:basedOn w:val="206"/>
    <w:link w:val="208"/>
    <w:qFormat/>
    <w:uiPriority w:val="0"/>
    <w:pPr>
      <w:numPr>
        <w:ilvl w:val="1"/>
      </w:numPr>
      <w:shd w:val="clear" w:color="auto" w:fill="auto"/>
      <w:spacing w:before="0" w:after="80" w:line="360" w:lineRule="auto"/>
      <w:ind w:left="0"/>
      <w:contextualSpacing w:val="0"/>
      <w:jc w:val="both"/>
    </w:pPr>
    <w:rPr>
      <w:b w:val="0"/>
    </w:rPr>
  </w:style>
  <w:style w:type="character" w:customStyle="1" w:styleId="208">
    <w:name w:val="LEVEL 2 Char"/>
    <w:basedOn w:val="11"/>
    <w:link w:val="207"/>
    <w:qFormat/>
    <w:uiPriority w:val="0"/>
    <w:rPr>
      <w:rFonts w:ascii="Tahoma" w:hAnsi="Tahoma" w:eastAsia="MS Mincho" w:cs="Tahoma"/>
      <w:sz w:val="18"/>
      <w:szCs w:val="18"/>
      <w:lang w:eastAsia="pt-BR"/>
    </w:rPr>
  </w:style>
  <w:style w:type="paragraph" w:customStyle="1" w:styleId="209">
    <w:name w:val="LEVEL 3"/>
    <w:basedOn w:val="207"/>
    <w:qFormat/>
    <w:uiPriority w:val="0"/>
    <w:pPr>
      <w:numPr>
        <w:ilvl w:val="2"/>
      </w:numPr>
      <w:tabs>
        <w:tab w:val="left" w:pos="360"/>
      </w:tabs>
      <w:ind w:left="1224" w:hanging="504"/>
    </w:pPr>
  </w:style>
  <w:style w:type="character" w:customStyle="1" w:styleId="210">
    <w:name w:val="Rodapé Char1"/>
    <w:basedOn w:val="11"/>
    <w:semiHidden/>
    <w:qFormat/>
    <w:uiPriority w:val="99"/>
  </w:style>
  <w:style w:type="paragraph" w:customStyle="1" w:styleId="211">
    <w:name w:val="texto_justificado_arial_12_espaçamento_simples"/>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212">
    <w:name w:val="Cabeçalho Char1"/>
    <w:basedOn w:val="11"/>
    <w:qFormat/>
    <w:uiPriority w:val="0"/>
    <w:rPr>
      <w:rFonts w:asciiTheme="minorHAnsi" w:hAnsiTheme="minorHAnsi" w:eastAsiaTheme="minorHAnsi" w:cstheme="minorBidi"/>
      <w:sz w:val="22"/>
      <w:szCs w:val="22"/>
      <w:lang w:eastAsia="en-US"/>
    </w:rPr>
  </w:style>
  <w:style w:type="character" w:customStyle="1" w:styleId="213">
    <w:name w:val="Título 2 Char1"/>
    <w:basedOn w:val="11"/>
    <w:semiHidden/>
    <w:qFormat/>
    <w:uiPriority w:val="0"/>
    <w:rPr>
      <w:rFonts w:asciiTheme="majorHAnsi" w:hAnsiTheme="majorHAnsi" w:eastAsiaTheme="majorEastAsia" w:cstheme="majorBidi"/>
      <w:color w:val="2E75B6" w:themeColor="accent1" w:themeShade="BF"/>
      <w:sz w:val="26"/>
      <w:szCs w:val="26"/>
      <w:lang w:eastAsia="en-US"/>
    </w:rPr>
  </w:style>
  <w:style w:type="character" w:customStyle="1" w:styleId="214">
    <w:name w:val="whitespace-normal"/>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F2A37-8A77-41F7-BCA2-A45071C978F6}">
  <ds:schemaRefs/>
</ds:datastoreItem>
</file>

<file path=docProps/app.xml><?xml version="1.0" encoding="utf-8"?>
<Properties xmlns="http://schemas.openxmlformats.org/officeDocument/2006/extended-properties" xmlns:vt="http://schemas.openxmlformats.org/officeDocument/2006/docPropsVTypes">
  <Template>Normal</Template>
  <Pages>87</Pages>
  <Words>1138</Words>
  <Characters>6803</Characters>
  <Lines>1408</Lines>
  <Paragraphs>399</Paragraphs>
  <TotalTime>101</TotalTime>
  <ScaleCrop>false</ScaleCrop>
  <LinksUpToDate>false</LinksUpToDate>
  <CharactersWithSpaces>7875</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2026-03-05T12:56:00Z</dcterms:created>
  <dc:creator>Danilo Borges Ribeiro</dc:creator>
  <cp:lastModifiedBy>barbara.lopo</cp:lastModifiedBy>
  <cp:lastPrinted>2026-04-07T12:50:00Z</cp:lastPrinted>
  <dcterms:modified xsi:type="dcterms:W3CDTF">2026-05-12T12:37:00Z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ADC5364695824306B2A506A0AF72D57D_13</vt:lpwstr>
  </property>
  <property fmtid="{D5CDD505-2E9C-101B-9397-08002B2CF9AE}" pid="4" name="KSOTemplateDocerSaveRecord">
    <vt:lpwstr>eyJoZGlkIjoiOTI4ZTgwYjJkOWIwZGQ1ZDg5MmRkMDQ0Y2JkYjhlYzEifQ==</vt:lpwstr>
  </property>
</Properties>
</file>